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6E21" w:rsidRDefault="00D56E21" w:rsidP="00B363BE">
      <w:pPr>
        <w:jc w:val="center"/>
        <w:rPr>
          <w:sz w:val="44"/>
          <w:szCs w:val="44"/>
        </w:rPr>
      </w:pPr>
      <w:bookmarkStart w:id="0" w:name="_GoBack"/>
      <w:bookmarkEnd w:id="0"/>
    </w:p>
    <w:p w:rsidR="00D56E21" w:rsidRDefault="00D56E21" w:rsidP="00B363BE">
      <w:pPr>
        <w:jc w:val="center"/>
        <w:rPr>
          <w:sz w:val="44"/>
          <w:szCs w:val="44"/>
        </w:rPr>
      </w:pPr>
    </w:p>
    <w:p w:rsidR="00D56E21" w:rsidRDefault="00D56E21" w:rsidP="00B363BE">
      <w:pPr>
        <w:jc w:val="center"/>
        <w:rPr>
          <w:sz w:val="44"/>
          <w:szCs w:val="44"/>
        </w:rPr>
      </w:pPr>
    </w:p>
    <w:p w:rsidR="00D56E21" w:rsidRDefault="00D56E21" w:rsidP="00B363BE">
      <w:pPr>
        <w:jc w:val="center"/>
        <w:rPr>
          <w:sz w:val="44"/>
          <w:szCs w:val="44"/>
        </w:rPr>
      </w:pPr>
    </w:p>
    <w:p w:rsidR="00D56E21" w:rsidRDefault="00D56E21" w:rsidP="00B363BE">
      <w:pPr>
        <w:jc w:val="center"/>
        <w:rPr>
          <w:sz w:val="44"/>
          <w:szCs w:val="44"/>
        </w:rPr>
      </w:pPr>
    </w:p>
    <w:p w:rsidR="009C701F" w:rsidRDefault="00B363BE" w:rsidP="00B363BE">
      <w:pPr>
        <w:jc w:val="center"/>
        <w:rPr>
          <w:sz w:val="44"/>
          <w:szCs w:val="44"/>
        </w:rPr>
      </w:pPr>
      <w:r w:rsidRPr="00B363BE">
        <w:rPr>
          <w:sz w:val="44"/>
          <w:szCs w:val="44"/>
        </w:rPr>
        <w:t>REASONABLE</w:t>
      </w:r>
      <w:r>
        <w:rPr>
          <w:sz w:val="44"/>
          <w:szCs w:val="44"/>
        </w:rPr>
        <w:t xml:space="preserve"> </w:t>
      </w:r>
      <w:r w:rsidRPr="00B363BE">
        <w:rPr>
          <w:sz w:val="44"/>
          <w:szCs w:val="44"/>
        </w:rPr>
        <w:t xml:space="preserve">APPREHENSION OF JUDICIAL BIAS IN TRIAL PROCEEDINGS (2009), </w:t>
      </w:r>
      <w:proofErr w:type="gramStart"/>
      <w:r w:rsidR="009C701F">
        <w:rPr>
          <w:sz w:val="44"/>
          <w:szCs w:val="44"/>
        </w:rPr>
        <w:t xml:space="preserve">55 </w:t>
      </w:r>
      <w:r w:rsidRPr="00B363BE">
        <w:rPr>
          <w:sz w:val="44"/>
          <w:szCs w:val="44"/>
        </w:rPr>
        <w:t>C.L.Q. 46,</w:t>
      </w:r>
      <w:proofErr w:type="gramEnd"/>
      <w:r w:rsidRPr="00B363BE">
        <w:rPr>
          <w:sz w:val="44"/>
          <w:szCs w:val="44"/>
        </w:rPr>
        <w:t xml:space="preserve"> </w:t>
      </w:r>
    </w:p>
    <w:p w:rsidR="00B363BE" w:rsidRDefault="00B363BE" w:rsidP="00B363BE">
      <w:pPr>
        <w:jc w:val="center"/>
        <w:rPr>
          <w:sz w:val="44"/>
          <w:szCs w:val="44"/>
        </w:rPr>
      </w:pPr>
      <w:proofErr w:type="gramStart"/>
      <w:r w:rsidRPr="00B363BE">
        <w:rPr>
          <w:sz w:val="44"/>
          <w:szCs w:val="44"/>
        </w:rPr>
        <w:t xml:space="preserve">UPDATED: </w:t>
      </w:r>
      <w:r w:rsidR="00320754">
        <w:rPr>
          <w:sz w:val="44"/>
          <w:szCs w:val="44"/>
        </w:rPr>
        <w:t>FEBRUARY,</w:t>
      </w:r>
      <w:r w:rsidR="00255A6D">
        <w:rPr>
          <w:sz w:val="44"/>
          <w:szCs w:val="44"/>
        </w:rPr>
        <w:t xml:space="preserve"> 201</w:t>
      </w:r>
      <w:r w:rsidR="00844EB9">
        <w:rPr>
          <w:sz w:val="44"/>
          <w:szCs w:val="44"/>
        </w:rPr>
        <w:t>2</w:t>
      </w:r>
      <w:r w:rsidRPr="00B363BE">
        <w:rPr>
          <w:sz w:val="44"/>
          <w:szCs w:val="44"/>
        </w:rPr>
        <w:t>.</w:t>
      </w:r>
      <w:proofErr w:type="gramEnd"/>
    </w:p>
    <w:p w:rsidR="00B363BE" w:rsidRDefault="00B363BE" w:rsidP="00B363BE">
      <w:pPr>
        <w:jc w:val="center"/>
        <w:rPr>
          <w:sz w:val="44"/>
          <w:szCs w:val="44"/>
        </w:rPr>
      </w:pPr>
    </w:p>
    <w:p w:rsidR="00B363BE" w:rsidRDefault="00B363BE" w:rsidP="00B363BE">
      <w:pPr>
        <w:jc w:val="center"/>
        <w:rPr>
          <w:sz w:val="44"/>
          <w:szCs w:val="44"/>
        </w:rPr>
      </w:pPr>
    </w:p>
    <w:p w:rsidR="00B363BE" w:rsidRDefault="00B363BE" w:rsidP="00B363BE">
      <w:pPr>
        <w:jc w:val="center"/>
        <w:rPr>
          <w:sz w:val="44"/>
          <w:szCs w:val="44"/>
        </w:rPr>
      </w:pPr>
    </w:p>
    <w:p w:rsidR="00B363BE" w:rsidRDefault="00B363BE" w:rsidP="00B363BE">
      <w:pPr>
        <w:jc w:val="center"/>
        <w:rPr>
          <w:sz w:val="44"/>
          <w:szCs w:val="44"/>
        </w:rPr>
      </w:pPr>
    </w:p>
    <w:p w:rsidR="00B363BE" w:rsidRDefault="00B363BE" w:rsidP="00B363BE">
      <w:pPr>
        <w:jc w:val="center"/>
        <w:rPr>
          <w:sz w:val="44"/>
          <w:szCs w:val="44"/>
        </w:rPr>
      </w:pPr>
    </w:p>
    <w:p w:rsidR="00B363BE" w:rsidRDefault="00B363BE" w:rsidP="00B363BE">
      <w:pPr>
        <w:jc w:val="center"/>
        <w:rPr>
          <w:sz w:val="44"/>
          <w:szCs w:val="44"/>
        </w:rPr>
      </w:pPr>
      <w:r>
        <w:rPr>
          <w:sz w:val="44"/>
          <w:szCs w:val="44"/>
        </w:rPr>
        <w:t xml:space="preserve">JUDGE WAYNE GORMAN </w:t>
      </w:r>
    </w:p>
    <w:p w:rsidR="00B363BE" w:rsidRDefault="00B363BE" w:rsidP="00B363BE">
      <w:pPr>
        <w:jc w:val="center"/>
        <w:rPr>
          <w:sz w:val="44"/>
          <w:szCs w:val="44"/>
        </w:rPr>
      </w:pPr>
      <w:r>
        <w:rPr>
          <w:sz w:val="44"/>
          <w:szCs w:val="44"/>
        </w:rPr>
        <w:t xml:space="preserve">THE PROVINCIAL COURT OF NEWFOUNDLAND AND </w:t>
      </w:r>
      <w:smartTag w:uri="urn:schemas-microsoft-com:office:smarttags" w:element="place">
        <w:r>
          <w:rPr>
            <w:sz w:val="44"/>
            <w:szCs w:val="44"/>
          </w:rPr>
          <w:t>LABRADOR</w:t>
        </w:r>
      </w:smartTag>
    </w:p>
    <w:p w:rsidR="00B363BE" w:rsidRDefault="00B363BE" w:rsidP="00B363BE">
      <w:pPr>
        <w:jc w:val="center"/>
        <w:rPr>
          <w:sz w:val="44"/>
          <w:szCs w:val="44"/>
        </w:rPr>
      </w:pPr>
    </w:p>
    <w:p w:rsidR="00B363BE" w:rsidRDefault="00B363BE" w:rsidP="00B363BE">
      <w:pPr>
        <w:jc w:val="center"/>
        <w:rPr>
          <w:sz w:val="44"/>
          <w:szCs w:val="44"/>
        </w:rPr>
      </w:pPr>
    </w:p>
    <w:p w:rsidR="00B363BE" w:rsidRDefault="00B363BE" w:rsidP="00B363BE">
      <w:pPr>
        <w:jc w:val="center"/>
        <w:rPr>
          <w:sz w:val="44"/>
          <w:szCs w:val="44"/>
        </w:rPr>
      </w:pPr>
    </w:p>
    <w:p w:rsidR="00B363BE" w:rsidRDefault="00B363BE" w:rsidP="00B363BE">
      <w:pPr>
        <w:jc w:val="center"/>
        <w:rPr>
          <w:sz w:val="44"/>
          <w:szCs w:val="44"/>
        </w:rPr>
      </w:pPr>
    </w:p>
    <w:p w:rsidR="00B363BE" w:rsidRDefault="00B363BE" w:rsidP="00B363BE">
      <w:pPr>
        <w:jc w:val="center"/>
        <w:rPr>
          <w:sz w:val="44"/>
          <w:szCs w:val="44"/>
        </w:rPr>
      </w:pPr>
    </w:p>
    <w:p w:rsidR="00B363BE" w:rsidRDefault="00B363BE" w:rsidP="00B363BE">
      <w:pPr>
        <w:jc w:val="center"/>
        <w:rPr>
          <w:sz w:val="44"/>
          <w:szCs w:val="44"/>
        </w:rPr>
      </w:pPr>
    </w:p>
    <w:p w:rsidR="00B951C9" w:rsidRDefault="00B951C9" w:rsidP="00B363BE">
      <w:pPr>
        <w:jc w:val="center"/>
        <w:rPr>
          <w:b/>
          <w:sz w:val="28"/>
          <w:szCs w:val="28"/>
        </w:rPr>
        <w:sectPr w:rsidR="00B951C9">
          <w:headerReference w:type="even" r:id="rId7"/>
          <w:pgSz w:w="12240" w:h="15840"/>
          <w:pgMar w:top="1440" w:right="1800" w:bottom="1440" w:left="1800" w:header="720" w:footer="720" w:gutter="0"/>
          <w:cols w:space="720"/>
          <w:docGrid w:linePitch="360"/>
        </w:sectPr>
      </w:pPr>
    </w:p>
    <w:p w:rsidR="00B363BE" w:rsidRDefault="00B363BE" w:rsidP="00B363BE">
      <w:pPr>
        <w:jc w:val="center"/>
        <w:rPr>
          <w:b/>
          <w:sz w:val="28"/>
          <w:szCs w:val="28"/>
        </w:rPr>
      </w:pPr>
      <w:r w:rsidRPr="00B363BE">
        <w:rPr>
          <w:b/>
          <w:sz w:val="28"/>
          <w:szCs w:val="28"/>
        </w:rPr>
        <w:lastRenderedPageBreak/>
        <w:t>INDEX</w:t>
      </w:r>
    </w:p>
    <w:p w:rsidR="00020869" w:rsidRDefault="00020869" w:rsidP="00020869">
      <w:pPr>
        <w:jc w:val="right"/>
        <w:rPr>
          <w:b/>
          <w:sz w:val="28"/>
          <w:szCs w:val="28"/>
        </w:rPr>
      </w:pPr>
      <w:r>
        <w:rPr>
          <w:b/>
          <w:sz w:val="28"/>
          <w:szCs w:val="28"/>
        </w:rPr>
        <w:t>PAGE NO.:</w:t>
      </w:r>
    </w:p>
    <w:p w:rsidR="00020869" w:rsidRDefault="00020869" w:rsidP="00020869">
      <w:pPr>
        <w:rPr>
          <w:b/>
          <w:sz w:val="28"/>
          <w:szCs w:val="28"/>
        </w:rPr>
      </w:pPr>
    </w:p>
    <w:p w:rsidR="00020869" w:rsidRDefault="00020869" w:rsidP="00020869">
      <w:pPr>
        <w:rPr>
          <w:b/>
          <w:sz w:val="28"/>
          <w:szCs w:val="28"/>
        </w:rPr>
      </w:pPr>
      <w:r>
        <w:rPr>
          <w:b/>
          <w:sz w:val="28"/>
          <w:szCs w:val="28"/>
        </w:rPr>
        <w:t>INTRODUCTION...................................................................</w:t>
      </w:r>
      <w:r>
        <w:rPr>
          <w:b/>
          <w:sz w:val="28"/>
          <w:szCs w:val="28"/>
        </w:rPr>
        <w:tab/>
      </w:r>
      <w:r>
        <w:rPr>
          <w:b/>
          <w:sz w:val="28"/>
          <w:szCs w:val="28"/>
        </w:rPr>
        <w:tab/>
        <w:t>1</w:t>
      </w:r>
    </w:p>
    <w:p w:rsidR="009C701F" w:rsidRDefault="009C701F" w:rsidP="009C701F">
      <w:pPr>
        <w:rPr>
          <w:b/>
          <w:sz w:val="28"/>
          <w:szCs w:val="28"/>
        </w:rPr>
      </w:pPr>
    </w:p>
    <w:p w:rsidR="009C701F" w:rsidRDefault="009C701F" w:rsidP="009C701F">
      <w:pPr>
        <w:rPr>
          <w:b/>
          <w:sz w:val="28"/>
          <w:szCs w:val="28"/>
        </w:rPr>
      </w:pPr>
      <w:r>
        <w:rPr>
          <w:b/>
          <w:sz w:val="28"/>
          <w:szCs w:val="28"/>
        </w:rPr>
        <w:t>AN EVIDENTIARY FOUNDATION...................................</w:t>
      </w:r>
      <w:r>
        <w:rPr>
          <w:b/>
          <w:sz w:val="28"/>
          <w:szCs w:val="28"/>
        </w:rPr>
        <w:tab/>
      </w:r>
      <w:r>
        <w:rPr>
          <w:b/>
          <w:sz w:val="28"/>
          <w:szCs w:val="28"/>
        </w:rPr>
        <w:tab/>
      </w:r>
      <w:r w:rsidR="0070038F">
        <w:rPr>
          <w:b/>
          <w:sz w:val="28"/>
          <w:szCs w:val="28"/>
        </w:rPr>
        <w:t>4</w:t>
      </w:r>
    </w:p>
    <w:p w:rsidR="00171E25" w:rsidRDefault="00171E25" w:rsidP="00171E25">
      <w:pPr>
        <w:rPr>
          <w:b/>
          <w:sz w:val="28"/>
          <w:szCs w:val="28"/>
        </w:rPr>
      </w:pPr>
    </w:p>
    <w:p w:rsidR="00171E25" w:rsidRDefault="00171E25" w:rsidP="00171E25">
      <w:pPr>
        <w:rPr>
          <w:b/>
          <w:sz w:val="28"/>
          <w:szCs w:val="28"/>
        </w:rPr>
      </w:pPr>
      <w:r>
        <w:rPr>
          <w:b/>
          <w:sz w:val="28"/>
          <w:szCs w:val="28"/>
        </w:rPr>
        <w:t>WHEN SHOULD THE ISSUE BE RAISED......................</w:t>
      </w:r>
      <w:r w:rsidR="005D028D">
        <w:rPr>
          <w:b/>
          <w:sz w:val="28"/>
          <w:szCs w:val="28"/>
        </w:rPr>
        <w:tab/>
      </w:r>
      <w:r w:rsidR="005D028D">
        <w:rPr>
          <w:b/>
          <w:sz w:val="28"/>
          <w:szCs w:val="28"/>
        </w:rPr>
        <w:tab/>
        <w:t>5</w:t>
      </w:r>
    </w:p>
    <w:p w:rsidR="003A2D0A" w:rsidRDefault="003A2D0A" w:rsidP="003A2D0A">
      <w:pPr>
        <w:rPr>
          <w:b/>
          <w:sz w:val="28"/>
          <w:szCs w:val="28"/>
        </w:rPr>
      </w:pPr>
    </w:p>
    <w:p w:rsidR="003A2D0A" w:rsidRDefault="003A2D0A" w:rsidP="003A2D0A">
      <w:pPr>
        <w:rPr>
          <w:b/>
          <w:sz w:val="28"/>
          <w:szCs w:val="28"/>
        </w:rPr>
      </w:pPr>
      <w:r>
        <w:rPr>
          <w:b/>
          <w:sz w:val="28"/>
          <w:szCs w:val="28"/>
        </w:rPr>
        <w:t>EXCESSIVE INTERVENTION............................................</w:t>
      </w:r>
      <w:r>
        <w:rPr>
          <w:b/>
          <w:sz w:val="28"/>
          <w:szCs w:val="28"/>
        </w:rPr>
        <w:tab/>
      </w:r>
      <w:r>
        <w:rPr>
          <w:b/>
          <w:sz w:val="28"/>
          <w:szCs w:val="28"/>
        </w:rPr>
        <w:tab/>
      </w:r>
      <w:r w:rsidR="0070038F">
        <w:rPr>
          <w:b/>
          <w:sz w:val="28"/>
          <w:szCs w:val="28"/>
        </w:rPr>
        <w:t>6</w:t>
      </w:r>
    </w:p>
    <w:p w:rsidR="00E038BB" w:rsidRDefault="00E038BB" w:rsidP="00E038BB">
      <w:pPr>
        <w:rPr>
          <w:b/>
          <w:sz w:val="28"/>
          <w:szCs w:val="28"/>
        </w:rPr>
      </w:pPr>
    </w:p>
    <w:p w:rsidR="00E038BB" w:rsidRDefault="00E038BB" w:rsidP="00E038BB">
      <w:pPr>
        <w:rPr>
          <w:b/>
          <w:sz w:val="28"/>
          <w:szCs w:val="28"/>
        </w:rPr>
      </w:pPr>
      <w:r>
        <w:rPr>
          <w:b/>
          <w:sz w:val="28"/>
          <w:szCs w:val="28"/>
        </w:rPr>
        <w:t>COMMENTS MADE OUTSIDE THE COURTROOM....</w:t>
      </w:r>
      <w:r w:rsidR="005D028D">
        <w:rPr>
          <w:b/>
          <w:sz w:val="28"/>
          <w:szCs w:val="28"/>
        </w:rPr>
        <w:tab/>
      </w:r>
      <w:r w:rsidR="005D028D">
        <w:rPr>
          <w:b/>
          <w:sz w:val="28"/>
          <w:szCs w:val="28"/>
        </w:rPr>
        <w:tab/>
        <w:t>1</w:t>
      </w:r>
      <w:r w:rsidR="0070038F">
        <w:rPr>
          <w:b/>
          <w:sz w:val="28"/>
          <w:szCs w:val="28"/>
        </w:rPr>
        <w:t>3</w:t>
      </w:r>
    </w:p>
    <w:p w:rsidR="003A2D0A" w:rsidRDefault="003A2D0A" w:rsidP="003A2D0A">
      <w:pPr>
        <w:rPr>
          <w:b/>
          <w:sz w:val="28"/>
          <w:szCs w:val="28"/>
        </w:rPr>
      </w:pPr>
    </w:p>
    <w:p w:rsidR="003A2D0A" w:rsidRDefault="003A2D0A" w:rsidP="003A2D0A">
      <w:pPr>
        <w:rPr>
          <w:b/>
          <w:sz w:val="28"/>
          <w:szCs w:val="28"/>
        </w:rPr>
      </w:pPr>
      <w:r>
        <w:rPr>
          <w:b/>
          <w:sz w:val="28"/>
          <w:szCs w:val="28"/>
        </w:rPr>
        <w:t>PRIOR INVOLVEMENT IN THE CASE.........................</w:t>
      </w:r>
      <w:r w:rsidR="009C701F">
        <w:rPr>
          <w:b/>
          <w:sz w:val="28"/>
          <w:szCs w:val="28"/>
        </w:rPr>
        <w:t>..</w:t>
      </w:r>
      <w:r w:rsidR="002305ED">
        <w:rPr>
          <w:b/>
          <w:sz w:val="28"/>
          <w:szCs w:val="28"/>
        </w:rPr>
        <w:tab/>
      </w:r>
      <w:r w:rsidR="002305ED">
        <w:rPr>
          <w:b/>
          <w:sz w:val="28"/>
          <w:szCs w:val="28"/>
        </w:rPr>
        <w:tab/>
      </w:r>
      <w:r w:rsidR="005D028D">
        <w:rPr>
          <w:b/>
          <w:sz w:val="28"/>
          <w:szCs w:val="28"/>
        </w:rPr>
        <w:t>1</w:t>
      </w:r>
      <w:r w:rsidR="0070038F">
        <w:rPr>
          <w:b/>
          <w:sz w:val="28"/>
          <w:szCs w:val="28"/>
        </w:rPr>
        <w:t>5</w:t>
      </w:r>
    </w:p>
    <w:p w:rsidR="001619D3" w:rsidRDefault="001619D3" w:rsidP="001619D3">
      <w:pPr>
        <w:rPr>
          <w:b/>
          <w:sz w:val="28"/>
          <w:szCs w:val="28"/>
        </w:rPr>
      </w:pPr>
    </w:p>
    <w:p w:rsidR="001619D3" w:rsidRDefault="001619D3" w:rsidP="001619D3">
      <w:pPr>
        <w:rPr>
          <w:b/>
          <w:sz w:val="28"/>
          <w:szCs w:val="28"/>
        </w:rPr>
      </w:pPr>
      <w:r>
        <w:rPr>
          <w:b/>
          <w:sz w:val="28"/>
          <w:szCs w:val="28"/>
        </w:rPr>
        <w:t>RE-OPENING A TRIAL.......................................................</w:t>
      </w:r>
      <w:r w:rsidR="0070038F">
        <w:rPr>
          <w:b/>
          <w:sz w:val="28"/>
          <w:szCs w:val="28"/>
        </w:rPr>
        <w:tab/>
      </w:r>
      <w:r w:rsidR="0070038F">
        <w:rPr>
          <w:b/>
          <w:sz w:val="28"/>
          <w:szCs w:val="28"/>
        </w:rPr>
        <w:tab/>
        <w:t>20</w:t>
      </w:r>
    </w:p>
    <w:p w:rsidR="000B5537" w:rsidRDefault="000B5537" w:rsidP="000B5537">
      <w:pPr>
        <w:rPr>
          <w:b/>
          <w:sz w:val="28"/>
          <w:szCs w:val="28"/>
        </w:rPr>
      </w:pPr>
    </w:p>
    <w:p w:rsidR="000B5537" w:rsidRDefault="000B5537" w:rsidP="000B5537">
      <w:pPr>
        <w:rPr>
          <w:b/>
          <w:sz w:val="28"/>
          <w:szCs w:val="28"/>
        </w:rPr>
      </w:pPr>
      <w:r>
        <w:rPr>
          <w:b/>
          <w:sz w:val="28"/>
          <w:szCs w:val="28"/>
        </w:rPr>
        <w:t>SENTENCE............................................................................</w:t>
      </w:r>
      <w:r w:rsidR="005D028D">
        <w:rPr>
          <w:b/>
          <w:sz w:val="28"/>
          <w:szCs w:val="28"/>
        </w:rPr>
        <w:tab/>
      </w:r>
      <w:r w:rsidR="005D028D">
        <w:rPr>
          <w:b/>
          <w:sz w:val="28"/>
          <w:szCs w:val="28"/>
        </w:rPr>
        <w:tab/>
      </w:r>
      <w:r w:rsidR="0070038F">
        <w:rPr>
          <w:b/>
          <w:sz w:val="28"/>
          <w:szCs w:val="28"/>
        </w:rPr>
        <w:t>2</w:t>
      </w:r>
      <w:r w:rsidR="005D028D">
        <w:rPr>
          <w:b/>
          <w:sz w:val="28"/>
          <w:szCs w:val="28"/>
        </w:rPr>
        <w:t>1</w:t>
      </w:r>
    </w:p>
    <w:p w:rsidR="003A2D0A" w:rsidRDefault="003A2D0A" w:rsidP="003A2D0A">
      <w:pPr>
        <w:rPr>
          <w:b/>
          <w:sz w:val="28"/>
          <w:szCs w:val="28"/>
        </w:rPr>
      </w:pPr>
    </w:p>
    <w:p w:rsidR="003A2D0A" w:rsidRDefault="003A2D0A" w:rsidP="003A2D0A">
      <w:pPr>
        <w:rPr>
          <w:b/>
          <w:sz w:val="28"/>
          <w:szCs w:val="28"/>
        </w:rPr>
      </w:pPr>
      <w:r>
        <w:rPr>
          <w:b/>
          <w:sz w:val="28"/>
          <w:szCs w:val="28"/>
        </w:rPr>
        <w:t>APPEALS................................................................................</w:t>
      </w:r>
      <w:r w:rsidR="002305ED">
        <w:rPr>
          <w:b/>
          <w:sz w:val="28"/>
          <w:szCs w:val="28"/>
        </w:rPr>
        <w:tab/>
      </w:r>
      <w:r w:rsidR="002305ED">
        <w:rPr>
          <w:b/>
          <w:sz w:val="28"/>
          <w:szCs w:val="28"/>
        </w:rPr>
        <w:tab/>
      </w:r>
      <w:r w:rsidR="005D028D">
        <w:rPr>
          <w:b/>
          <w:sz w:val="28"/>
          <w:szCs w:val="28"/>
        </w:rPr>
        <w:t>2</w:t>
      </w:r>
      <w:r w:rsidR="0070038F">
        <w:rPr>
          <w:b/>
          <w:sz w:val="28"/>
          <w:szCs w:val="28"/>
        </w:rPr>
        <w:t>4</w:t>
      </w:r>
    </w:p>
    <w:p w:rsidR="00320754" w:rsidRDefault="00320754" w:rsidP="00320754">
      <w:pPr>
        <w:rPr>
          <w:b/>
          <w:sz w:val="28"/>
          <w:szCs w:val="28"/>
        </w:rPr>
      </w:pPr>
    </w:p>
    <w:p w:rsidR="00320754" w:rsidRDefault="00320754" w:rsidP="00320754">
      <w:pPr>
        <w:rPr>
          <w:b/>
          <w:sz w:val="28"/>
          <w:szCs w:val="28"/>
        </w:rPr>
      </w:pPr>
      <w:r>
        <w:rPr>
          <w:b/>
          <w:sz w:val="28"/>
          <w:szCs w:val="28"/>
        </w:rPr>
        <w:t>REMEDY.................................................................................</w:t>
      </w:r>
      <w:r w:rsidR="0070038F">
        <w:rPr>
          <w:b/>
          <w:sz w:val="28"/>
          <w:szCs w:val="28"/>
        </w:rPr>
        <w:tab/>
      </w:r>
      <w:r w:rsidR="0070038F">
        <w:rPr>
          <w:b/>
          <w:sz w:val="28"/>
          <w:szCs w:val="28"/>
        </w:rPr>
        <w:tab/>
        <w:t>28</w:t>
      </w:r>
    </w:p>
    <w:p w:rsidR="009C701F" w:rsidRDefault="009C701F" w:rsidP="009C701F">
      <w:pPr>
        <w:rPr>
          <w:b/>
          <w:sz w:val="28"/>
          <w:szCs w:val="28"/>
        </w:rPr>
      </w:pPr>
    </w:p>
    <w:p w:rsidR="00B363BE" w:rsidRDefault="009C701F" w:rsidP="00320754">
      <w:pPr>
        <w:rPr>
          <w:b/>
          <w:sz w:val="28"/>
          <w:szCs w:val="28"/>
        </w:rPr>
      </w:pPr>
      <w:r>
        <w:rPr>
          <w:b/>
          <w:sz w:val="28"/>
          <w:szCs w:val="28"/>
        </w:rPr>
        <w:t>CONCLUSION.......................................................................</w:t>
      </w:r>
      <w:r w:rsidR="002305ED">
        <w:rPr>
          <w:b/>
          <w:sz w:val="28"/>
          <w:szCs w:val="28"/>
        </w:rPr>
        <w:tab/>
      </w:r>
      <w:r w:rsidR="002305ED">
        <w:rPr>
          <w:b/>
          <w:sz w:val="28"/>
          <w:szCs w:val="28"/>
        </w:rPr>
        <w:tab/>
      </w:r>
      <w:r w:rsidR="005D028D">
        <w:rPr>
          <w:b/>
          <w:sz w:val="28"/>
          <w:szCs w:val="28"/>
        </w:rPr>
        <w:t>2</w:t>
      </w:r>
      <w:r w:rsidR="0070038F">
        <w:rPr>
          <w:b/>
          <w:sz w:val="28"/>
          <w:szCs w:val="28"/>
        </w:rPr>
        <w:t>8</w:t>
      </w:r>
    </w:p>
    <w:p w:rsidR="00B363BE" w:rsidRDefault="00B363BE" w:rsidP="00B363BE">
      <w:pPr>
        <w:jc w:val="center"/>
        <w:rPr>
          <w:b/>
          <w:sz w:val="28"/>
          <w:szCs w:val="28"/>
        </w:rPr>
      </w:pPr>
    </w:p>
    <w:p w:rsidR="00B363BE" w:rsidRDefault="00B363BE" w:rsidP="00B363BE">
      <w:pPr>
        <w:jc w:val="center"/>
        <w:rPr>
          <w:b/>
          <w:sz w:val="28"/>
          <w:szCs w:val="28"/>
        </w:rPr>
      </w:pPr>
    </w:p>
    <w:p w:rsidR="00B363BE" w:rsidRDefault="00B363BE" w:rsidP="00B363BE">
      <w:pPr>
        <w:jc w:val="center"/>
        <w:rPr>
          <w:b/>
          <w:sz w:val="28"/>
          <w:szCs w:val="28"/>
        </w:rPr>
      </w:pPr>
    </w:p>
    <w:p w:rsidR="00B363BE" w:rsidRDefault="00B363BE" w:rsidP="00B363BE">
      <w:pPr>
        <w:jc w:val="center"/>
        <w:rPr>
          <w:b/>
          <w:sz w:val="28"/>
          <w:szCs w:val="28"/>
        </w:rPr>
      </w:pPr>
    </w:p>
    <w:p w:rsidR="00B363BE" w:rsidRDefault="00B363BE" w:rsidP="00B363BE">
      <w:pPr>
        <w:jc w:val="center"/>
        <w:rPr>
          <w:b/>
          <w:sz w:val="28"/>
          <w:szCs w:val="28"/>
        </w:rPr>
      </w:pPr>
    </w:p>
    <w:p w:rsidR="00B363BE" w:rsidRDefault="00B363BE" w:rsidP="00B363BE">
      <w:pPr>
        <w:jc w:val="center"/>
        <w:rPr>
          <w:b/>
          <w:sz w:val="28"/>
          <w:szCs w:val="28"/>
        </w:rPr>
      </w:pPr>
    </w:p>
    <w:p w:rsidR="00B363BE" w:rsidRDefault="00B363BE" w:rsidP="00B363BE">
      <w:pPr>
        <w:jc w:val="center"/>
        <w:rPr>
          <w:b/>
          <w:sz w:val="28"/>
          <w:szCs w:val="28"/>
        </w:rPr>
      </w:pPr>
    </w:p>
    <w:p w:rsidR="00B363BE" w:rsidRDefault="00B363BE" w:rsidP="00B363BE">
      <w:pPr>
        <w:jc w:val="center"/>
        <w:rPr>
          <w:b/>
          <w:sz w:val="28"/>
          <w:szCs w:val="28"/>
        </w:rPr>
      </w:pPr>
    </w:p>
    <w:p w:rsidR="00B363BE" w:rsidRDefault="00B363BE" w:rsidP="00B363BE">
      <w:pPr>
        <w:jc w:val="center"/>
        <w:rPr>
          <w:b/>
          <w:sz w:val="28"/>
          <w:szCs w:val="28"/>
        </w:rPr>
      </w:pPr>
    </w:p>
    <w:p w:rsidR="00B363BE" w:rsidRDefault="00B363BE" w:rsidP="00B363BE">
      <w:pPr>
        <w:jc w:val="center"/>
        <w:rPr>
          <w:b/>
          <w:sz w:val="28"/>
          <w:szCs w:val="28"/>
        </w:rPr>
      </w:pPr>
    </w:p>
    <w:p w:rsidR="00B363BE" w:rsidRDefault="00B363BE" w:rsidP="00B363BE">
      <w:pPr>
        <w:jc w:val="center"/>
        <w:rPr>
          <w:b/>
          <w:sz w:val="28"/>
          <w:szCs w:val="28"/>
        </w:rPr>
      </w:pPr>
    </w:p>
    <w:p w:rsidR="00B363BE" w:rsidRDefault="00B363BE" w:rsidP="00B363BE">
      <w:pPr>
        <w:jc w:val="center"/>
        <w:rPr>
          <w:b/>
          <w:sz w:val="28"/>
          <w:szCs w:val="28"/>
        </w:rPr>
      </w:pPr>
    </w:p>
    <w:p w:rsidR="00B363BE" w:rsidRDefault="00B363BE" w:rsidP="00B363BE">
      <w:pPr>
        <w:jc w:val="center"/>
        <w:rPr>
          <w:b/>
          <w:sz w:val="28"/>
          <w:szCs w:val="28"/>
        </w:rPr>
      </w:pPr>
    </w:p>
    <w:p w:rsidR="00B363BE" w:rsidRDefault="00B363BE" w:rsidP="00B363BE">
      <w:pPr>
        <w:jc w:val="center"/>
        <w:rPr>
          <w:b/>
          <w:sz w:val="28"/>
          <w:szCs w:val="28"/>
        </w:rPr>
      </w:pPr>
    </w:p>
    <w:p w:rsidR="00B951C9" w:rsidRDefault="00B951C9" w:rsidP="00B363BE">
      <w:pPr>
        <w:jc w:val="center"/>
        <w:rPr>
          <w:b/>
          <w:sz w:val="28"/>
          <w:szCs w:val="28"/>
        </w:rPr>
        <w:sectPr w:rsidR="00B951C9" w:rsidSect="00B951C9">
          <w:headerReference w:type="default" r:id="rId8"/>
          <w:pgSz w:w="12240" w:h="15840"/>
          <w:pgMar w:top="1440" w:right="1800" w:bottom="1440" w:left="1800" w:header="720" w:footer="720" w:gutter="0"/>
          <w:pgNumType w:fmt="lowerRoman" w:start="1"/>
          <w:cols w:space="720"/>
          <w:docGrid w:linePitch="360"/>
        </w:sectPr>
      </w:pPr>
    </w:p>
    <w:p w:rsidR="004352B6" w:rsidRDefault="004352B6" w:rsidP="00B363BE">
      <w:pPr>
        <w:jc w:val="center"/>
        <w:rPr>
          <w:b/>
          <w:sz w:val="28"/>
          <w:szCs w:val="28"/>
        </w:rPr>
      </w:pPr>
    </w:p>
    <w:p w:rsidR="00B363BE" w:rsidRDefault="00B363BE" w:rsidP="00B363BE">
      <w:pPr>
        <w:jc w:val="center"/>
        <w:rPr>
          <w:b/>
          <w:sz w:val="28"/>
          <w:szCs w:val="28"/>
        </w:rPr>
      </w:pPr>
      <w:r>
        <w:rPr>
          <w:b/>
          <w:sz w:val="28"/>
          <w:szCs w:val="28"/>
        </w:rPr>
        <w:t>INTRODUCTION</w:t>
      </w:r>
    </w:p>
    <w:p w:rsidR="00E90C75" w:rsidRDefault="00E90C75" w:rsidP="00E90C75">
      <w:pPr>
        <w:rPr>
          <w:b/>
          <w:sz w:val="28"/>
          <w:szCs w:val="28"/>
        </w:rPr>
      </w:pPr>
    </w:p>
    <w:p w:rsidR="00E90C75" w:rsidRDefault="00E90C75" w:rsidP="00161650">
      <w:pPr>
        <w:spacing w:line="480" w:lineRule="auto"/>
        <w:ind w:firstLine="720"/>
        <w:jc w:val="both"/>
        <w:rPr>
          <w:sz w:val="28"/>
          <w:szCs w:val="28"/>
        </w:rPr>
      </w:pPr>
      <w:r>
        <w:rPr>
          <w:sz w:val="28"/>
          <w:szCs w:val="28"/>
        </w:rPr>
        <w:t xml:space="preserve">The purpose of this paper is to </w:t>
      </w:r>
      <w:r w:rsidR="00E81731">
        <w:rPr>
          <w:sz w:val="28"/>
          <w:szCs w:val="28"/>
        </w:rPr>
        <w:t xml:space="preserve">serve as an </w:t>
      </w:r>
      <w:r>
        <w:rPr>
          <w:sz w:val="28"/>
          <w:szCs w:val="28"/>
        </w:rPr>
        <w:t xml:space="preserve">update </w:t>
      </w:r>
      <w:r w:rsidR="00E81731">
        <w:rPr>
          <w:sz w:val="28"/>
          <w:szCs w:val="28"/>
        </w:rPr>
        <w:t xml:space="preserve">of </w:t>
      </w:r>
      <w:r>
        <w:rPr>
          <w:sz w:val="28"/>
          <w:szCs w:val="28"/>
        </w:rPr>
        <w:t xml:space="preserve">the paper </w:t>
      </w:r>
      <w:r w:rsidR="00A74E80">
        <w:rPr>
          <w:sz w:val="28"/>
          <w:szCs w:val="28"/>
        </w:rPr>
        <w:t xml:space="preserve">on reasonable apprehension of bias which was </w:t>
      </w:r>
      <w:r w:rsidR="00E81731">
        <w:rPr>
          <w:sz w:val="28"/>
          <w:szCs w:val="28"/>
        </w:rPr>
        <w:t xml:space="preserve">published </w:t>
      </w:r>
      <w:r>
        <w:rPr>
          <w:sz w:val="28"/>
          <w:szCs w:val="28"/>
        </w:rPr>
        <w:t xml:space="preserve">in the </w:t>
      </w:r>
      <w:r w:rsidR="00D11C34" w:rsidRPr="00A74E80">
        <w:rPr>
          <w:i/>
          <w:sz w:val="28"/>
          <w:szCs w:val="28"/>
        </w:rPr>
        <w:t>Criminal Law Quarterly</w:t>
      </w:r>
      <w:r w:rsidR="00D11C34">
        <w:rPr>
          <w:sz w:val="28"/>
          <w:szCs w:val="28"/>
        </w:rPr>
        <w:t xml:space="preserve"> (the </w:t>
      </w:r>
      <w:r w:rsidRPr="00F46C87">
        <w:rPr>
          <w:i/>
          <w:sz w:val="28"/>
          <w:szCs w:val="28"/>
        </w:rPr>
        <w:t>C.L.Q.</w:t>
      </w:r>
      <w:r w:rsidR="00D11C34">
        <w:rPr>
          <w:sz w:val="28"/>
          <w:szCs w:val="28"/>
        </w:rPr>
        <w:t>)</w:t>
      </w:r>
      <w:r w:rsidR="00A74E80">
        <w:rPr>
          <w:sz w:val="28"/>
          <w:szCs w:val="28"/>
        </w:rPr>
        <w:t>.</w:t>
      </w:r>
      <w:r>
        <w:rPr>
          <w:sz w:val="28"/>
          <w:szCs w:val="28"/>
        </w:rPr>
        <w:t xml:space="preserve">  </w:t>
      </w:r>
      <w:r w:rsidR="003C4558">
        <w:rPr>
          <w:sz w:val="28"/>
          <w:szCs w:val="28"/>
        </w:rPr>
        <w:t>A</w:t>
      </w:r>
      <w:r w:rsidR="00F46C87">
        <w:rPr>
          <w:sz w:val="28"/>
          <w:szCs w:val="28"/>
        </w:rPr>
        <w:t xml:space="preserve">n earlier version of the </w:t>
      </w:r>
      <w:r w:rsidR="00F46C87" w:rsidRPr="008A0161">
        <w:rPr>
          <w:i/>
          <w:sz w:val="28"/>
          <w:szCs w:val="28"/>
        </w:rPr>
        <w:t>C.L.Q.</w:t>
      </w:r>
      <w:r w:rsidR="00F46C87">
        <w:rPr>
          <w:sz w:val="28"/>
          <w:szCs w:val="28"/>
        </w:rPr>
        <w:t xml:space="preserve"> paper was presented at </w:t>
      </w:r>
      <w:r w:rsidR="008A0161">
        <w:rPr>
          <w:sz w:val="28"/>
          <w:szCs w:val="28"/>
        </w:rPr>
        <w:t>an</w:t>
      </w:r>
      <w:r w:rsidR="00F46C87">
        <w:rPr>
          <w:sz w:val="28"/>
          <w:szCs w:val="28"/>
        </w:rPr>
        <w:t xml:space="preserve"> annual meeting of the Judges of the </w:t>
      </w:r>
      <w:r w:rsidR="008A0161">
        <w:rPr>
          <w:sz w:val="28"/>
          <w:szCs w:val="28"/>
        </w:rPr>
        <w:t>P</w:t>
      </w:r>
      <w:r w:rsidR="00F46C87">
        <w:rPr>
          <w:sz w:val="28"/>
          <w:szCs w:val="28"/>
        </w:rPr>
        <w:t xml:space="preserve">rovincial Court of Newfoundland and </w:t>
      </w:r>
      <w:smartTag w:uri="urn:schemas-microsoft-com:office:smarttags" w:element="place">
        <w:r w:rsidR="00F46C87">
          <w:rPr>
            <w:sz w:val="28"/>
            <w:szCs w:val="28"/>
          </w:rPr>
          <w:t>Labrador</w:t>
        </w:r>
      </w:smartTag>
      <w:r w:rsidR="00F46C87">
        <w:rPr>
          <w:sz w:val="28"/>
          <w:szCs w:val="28"/>
        </w:rPr>
        <w:t xml:space="preserve">.  </w:t>
      </w:r>
      <w:r>
        <w:rPr>
          <w:sz w:val="28"/>
          <w:szCs w:val="28"/>
        </w:rPr>
        <w:t>I have added a section on appeals</w:t>
      </w:r>
      <w:r w:rsidR="008F7241">
        <w:rPr>
          <w:sz w:val="28"/>
          <w:szCs w:val="28"/>
        </w:rPr>
        <w:t xml:space="preserve"> and judicial comments mad</w:t>
      </w:r>
      <w:r w:rsidR="004352B6">
        <w:rPr>
          <w:sz w:val="28"/>
          <w:szCs w:val="28"/>
        </w:rPr>
        <w:t>e</w:t>
      </w:r>
      <w:r w:rsidR="008F7241">
        <w:rPr>
          <w:sz w:val="28"/>
          <w:szCs w:val="28"/>
        </w:rPr>
        <w:t xml:space="preserve"> outside of the courtroom</w:t>
      </w:r>
      <w:r w:rsidR="00D11C34">
        <w:rPr>
          <w:sz w:val="28"/>
          <w:szCs w:val="28"/>
        </w:rPr>
        <w:t>, but o</w:t>
      </w:r>
      <w:r>
        <w:rPr>
          <w:sz w:val="28"/>
          <w:szCs w:val="28"/>
        </w:rPr>
        <w:t xml:space="preserve">therwise I </w:t>
      </w:r>
      <w:r w:rsidR="000B2DA7">
        <w:rPr>
          <w:sz w:val="28"/>
          <w:szCs w:val="28"/>
        </w:rPr>
        <w:t xml:space="preserve">have </w:t>
      </w:r>
      <w:r>
        <w:rPr>
          <w:sz w:val="28"/>
          <w:szCs w:val="28"/>
        </w:rPr>
        <w:t>follow</w:t>
      </w:r>
      <w:r w:rsidR="000B2DA7">
        <w:rPr>
          <w:sz w:val="28"/>
          <w:szCs w:val="28"/>
        </w:rPr>
        <w:t>ed</w:t>
      </w:r>
      <w:r>
        <w:rPr>
          <w:sz w:val="28"/>
          <w:szCs w:val="28"/>
        </w:rPr>
        <w:t xml:space="preserve"> the same format and </w:t>
      </w:r>
      <w:r w:rsidR="000B2DA7">
        <w:rPr>
          <w:sz w:val="28"/>
          <w:szCs w:val="28"/>
        </w:rPr>
        <w:t xml:space="preserve">used the same </w:t>
      </w:r>
      <w:r>
        <w:rPr>
          <w:sz w:val="28"/>
          <w:szCs w:val="28"/>
        </w:rPr>
        <w:t>headings as contained in the original paper.</w:t>
      </w:r>
    </w:p>
    <w:p w:rsidR="00C702D3" w:rsidRDefault="004C69A2" w:rsidP="00161650">
      <w:pPr>
        <w:spacing w:line="480" w:lineRule="auto"/>
        <w:ind w:firstLine="720"/>
        <w:jc w:val="both"/>
        <w:rPr>
          <w:bCs/>
          <w:iCs/>
          <w:sz w:val="28"/>
          <w:szCs w:val="28"/>
        </w:rPr>
      </w:pPr>
      <w:r w:rsidRPr="004C69A2">
        <w:rPr>
          <w:sz w:val="28"/>
          <w:szCs w:val="28"/>
        </w:rPr>
        <w:t xml:space="preserve">In </w:t>
      </w:r>
      <w:r w:rsidR="00E81731">
        <w:rPr>
          <w:sz w:val="28"/>
          <w:szCs w:val="28"/>
        </w:rPr>
        <w:t xml:space="preserve">the </w:t>
      </w:r>
      <w:r w:rsidR="00E81731" w:rsidRPr="00F46C87">
        <w:rPr>
          <w:i/>
          <w:sz w:val="28"/>
          <w:szCs w:val="28"/>
        </w:rPr>
        <w:t>C.L.Q.</w:t>
      </w:r>
      <w:r w:rsidR="00E81731">
        <w:rPr>
          <w:sz w:val="28"/>
          <w:szCs w:val="28"/>
        </w:rPr>
        <w:t xml:space="preserve"> paper, it was noted that impartiality is the “fundamental qualification of a judge” and </w:t>
      </w:r>
      <w:r w:rsidR="00B3603E">
        <w:rPr>
          <w:sz w:val="28"/>
          <w:szCs w:val="28"/>
        </w:rPr>
        <w:t xml:space="preserve">that this </w:t>
      </w:r>
      <w:r w:rsidR="00E81731">
        <w:rPr>
          <w:sz w:val="28"/>
          <w:szCs w:val="28"/>
        </w:rPr>
        <w:t xml:space="preserve">requires at times, restraint.  In </w:t>
      </w:r>
      <w:r w:rsidRPr="004C69A2">
        <w:rPr>
          <w:b/>
          <w:i/>
          <w:sz w:val="28"/>
          <w:szCs w:val="28"/>
        </w:rPr>
        <w:t>R. v. Dobson</w:t>
      </w:r>
      <w:r w:rsidRPr="004C69A2">
        <w:rPr>
          <w:sz w:val="28"/>
          <w:szCs w:val="28"/>
        </w:rPr>
        <w:t>, [2009] O.J. No. 4116</w:t>
      </w:r>
      <w:r w:rsidR="00B3603E">
        <w:rPr>
          <w:sz w:val="28"/>
          <w:szCs w:val="28"/>
        </w:rPr>
        <w:t>,</w:t>
      </w:r>
      <w:r w:rsidRPr="004C69A2">
        <w:rPr>
          <w:sz w:val="28"/>
          <w:szCs w:val="28"/>
        </w:rPr>
        <w:t xml:space="preserve"> the </w:t>
      </w:r>
      <w:r w:rsidR="00E81731">
        <w:rPr>
          <w:sz w:val="28"/>
          <w:szCs w:val="28"/>
        </w:rPr>
        <w:t xml:space="preserve">Ontario </w:t>
      </w:r>
      <w:r w:rsidRPr="004C69A2">
        <w:rPr>
          <w:sz w:val="28"/>
          <w:szCs w:val="28"/>
        </w:rPr>
        <w:t xml:space="preserve">Court of Appeal </w:t>
      </w:r>
      <w:r w:rsidR="000B2DA7">
        <w:rPr>
          <w:sz w:val="28"/>
          <w:szCs w:val="28"/>
        </w:rPr>
        <w:t xml:space="preserve">considered </w:t>
      </w:r>
      <w:r w:rsidR="00B3603E">
        <w:rPr>
          <w:sz w:val="28"/>
          <w:szCs w:val="28"/>
        </w:rPr>
        <w:t xml:space="preserve">this issue in </w:t>
      </w:r>
      <w:r w:rsidR="000B2DA7">
        <w:rPr>
          <w:sz w:val="28"/>
          <w:szCs w:val="28"/>
        </w:rPr>
        <w:t xml:space="preserve">a case in which it described the trial judge’s comments during the trial to have been </w:t>
      </w:r>
      <w:r w:rsidR="000B2DA7" w:rsidRPr="000B2DA7">
        <w:rPr>
          <w:sz w:val="28"/>
          <w:szCs w:val="28"/>
        </w:rPr>
        <w:t>“</w:t>
      </w:r>
      <w:r w:rsidR="000B2DA7" w:rsidRPr="000B2DA7">
        <w:rPr>
          <w:color w:val="000000"/>
          <w:sz w:val="28"/>
          <w:szCs w:val="28"/>
        </w:rPr>
        <w:t xml:space="preserve">ill chosen and </w:t>
      </w:r>
      <w:r w:rsidR="00B3603E">
        <w:rPr>
          <w:color w:val="000000"/>
          <w:sz w:val="28"/>
          <w:szCs w:val="28"/>
        </w:rPr>
        <w:t xml:space="preserve">[which] </w:t>
      </w:r>
      <w:r w:rsidR="000B2DA7" w:rsidRPr="000B2DA7">
        <w:rPr>
          <w:color w:val="000000"/>
          <w:sz w:val="28"/>
          <w:szCs w:val="28"/>
        </w:rPr>
        <w:t>could have been phrased in a more courteous, less abrasive fashion</w:t>
      </w:r>
      <w:r w:rsidR="000B2DA7">
        <w:rPr>
          <w:sz w:val="28"/>
          <w:szCs w:val="28"/>
        </w:rPr>
        <w:t xml:space="preserve">.”  However, the Court of Appeal upheld the conviction </w:t>
      </w:r>
      <w:r w:rsidR="00F46C87">
        <w:rPr>
          <w:sz w:val="28"/>
          <w:szCs w:val="28"/>
        </w:rPr>
        <w:t xml:space="preserve">enterd in that case by the trial judge </w:t>
      </w:r>
      <w:r w:rsidR="000B2DA7">
        <w:rPr>
          <w:sz w:val="28"/>
          <w:szCs w:val="28"/>
        </w:rPr>
        <w:t xml:space="preserve">and </w:t>
      </w:r>
      <w:r w:rsidRPr="004C69A2">
        <w:rPr>
          <w:sz w:val="28"/>
          <w:szCs w:val="28"/>
        </w:rPr>
        <w:t>noted that “while trial judges bear responsibility for ensuring that the trial proceeds in an orderly and efficient fashion and are entitled to be firm in carrying out this function, it is essential that, in doing so, they maintain judicial decorum”</w:t>
      </w:r>
      <w:r w:rsidR="00A74E80">
        <w:rPr>
          <w:sz w:val="28"/>
          <w:szCs w:val="28"/>
        </w:rPr>
        <w:t xml:space="preserve"> (also see </w:t>
      </w:r>
      <w:bookmarkStart w:id="1" w:name="para100"/>
      <w:r w:rsidR="00A74E80" w:rsidRPr="00A74E80">
        <w:rPr>
          <w:b/>
          <w:i/>
          <w:iCs/>
          <w:sz w:val="28"/>
          <w:szCs w:val="28"/>
        </w:rPr>
        <w:t>Tedjame-mortty</w:t>
      </w:r>
      <w:r w:rsidR="00A74E80" w:rsidRPr="00A74E80">
        <w:rPr>
          <w:i/>
          <w:iCs/>
          <w:sz w:val="28"/>
          <w:szCs w:val="28"/>
        </w:rPr>
        <w:t xml:space="preserve"> </w:t>
      </w:r>
      <w:bookmarkEnd w:id="1"/>
      <w:r w:rsidR="00A74E80" w:rsidRPr="00A74E80">
        <w:rPr>
          <w:sz w:val="28"/>
          <w:szCs w:val="28"/>
        </w:rPr>
        <w:t>[2011] Crim. L.R. 676</w:t>
      </w:r>
      <w:r w:rsidR="00A74E80">
        <w:rPr>
          <w:sz w:val="28"/>
          <w:szCs w:val="28"/>
        </w:rPr>
        <w:t>).</w:t>
      </w:r>
      <w:r>
        <w:rPr>
          <w:sz w:val="28"/>
          <w:szCs w:val="28"/>
        </w:rPr>
        <w:t xml:space="preserve"> </w:t>
      </w:r>
      <w:r w:rsidR="00B3603E">
        <w:rPr>
          <w:sz w:val="28"/>
          <w:szCs w:val="28"/>
        </w:rPr>
        <w:t xml:space="preserve"> </w:t>
      </w:r>
      <w:r w:rsidR="000B2DA7">
        <w:rPr>
          <w:sz w:val="28"/>
          <w:szCs w:val="28"/>
        </w:rPr>
        <w:t>Similarly, i</w:t>
      </w:r>
      <w:r w:rsidRPr="004C69A2">
        <w:rPr>
          <w:iCs/>
          <w:sz w:val="28"/>
          <w:szCs w:val="28"/>
        </w:rPr>
        <w:t xml:space="preserve">n </w:t>
      </w:r>
      <w:r w:rsidRPr="000B2DA7">
        <w:rPr>
          <w:b/>
          <w:bCs/>
          <w:i/>
          <w:iCs/>
          <w:sz w:val="28"/>
          <w:szCs w:val="28"/>
        </w:rPr>
        <w:t>R. v. J.L.M.A</w:t>
      </w:r>
      <w:r w:rsidRPr="004C69A2">
        <w:rPr>
          <w:b/>
          <w:bCs/>
          <w:iCs/>
          <w:sz w:val="28"/>
          <w:szCs w:val="28"/>
        </w:rPr>
        <w:t>.</w:t>
      </w:r>
      <w:r w:rsidRPr="004C69A2">
        <w:rPr>
          <w:bCs/>
          <w:iCs/>
          <w:sz w:val="28"/>
          <w:szCs w:val="28"/>
        </w:rPr>
        <w:t xml:space="preserve">, </w:t>
      </w:r>
      <w:r w:rsidR="000B2DA7">
        <w:rPr>
          <w:bCs/>
          <w:iCs/>
          <w:sz w:val="28"/>
          <w:szCs w:val="28"/>
        </w:rPr>
        <w:t>[</w:t>
      </w:r>
      <w:r w:rsidRPr="004C69A2">
        <w:rPr>
          <w:bCs/>
          <w:iCs/>
          <w:sz w:val="28"/>
          <w:szCs w:val="28"/>
        </w:rPr>
        <w:t>2009</w:t>
      </w:r>
      <w:r w:rsidR="000B2DA7">
        <w:rPr>
          <w:bCs/>
          <w:iCs/>
          <w:sz w:val="28"/>
          <w:szCs w:val="28"/>
        </w:rPr>
        <w:t xml:space="preserve">] A.J. No. 1148, </w:t>
      </w:r>
      <w:r w:rsidRPr="004C69A2">
        <w:rPr>
          <w:bCs/>
          <w:iCs/>
          <w:sz w:val="28"/>
          <w:szCs w:val="28"/>
        </w:rPr>
        <w:t xml:space="preserve">at paragraph 24, </w:t>
      </w:r>
      <w:r w:rsidR="000B2DA7">
        <w:rPr>
          <w:bCs/>
          <w:iCs/>
          <w:sz w:val="28"/>
          <w:szCs w:val="28"/>
        </w:rPr>
        <w:t xml:space="preserve">the Alberta Court of Appeal stated </w:t>
      </w:r>
      <w:r w:rsidRPr="004C69A2">
        <w:rPr>
          <w:bCs/>
          <w:iCs/>
          <w:sz w:val="28"/>
          <w:szCs w:val="28"/>
        </w:rPr>
        <w:lastRenderedPageBreak/>
        <w:t>that the parties to a matter are “are entitled to a fair judge, but not an ignorant, unqualified, gullible, or untrained one.”</w:t>
      </w:r>
      <w:r w:rsidR="0032553D">
        <w:rPr>
          <w:bCs/>
          <w:iCs/>
          <w:sz w:val="28"/>
          <w:szCs w:val="28"/>
        </w:rPr>
        <w:t xml:space="preserve">  </w:t>
      </w:r>
    </w:p>
    <w:p w:rsidR="004C69A2" w:rsidRPr="00C702D3" w:rsidRDefault="0032553D" w:rsidP="00161650">
      <w:pPr>
        <w:spacing w:line="480" w:lineRule="auto"/>
        <w:ind w:firstLine="720"/>
        <w:jc w:val="both"/>
        <w:rPr>
          <w:bCs/>
          <w:iCs/>
          <w:sz w:val="28"/>
          <w:szCs w:val="28"/>
        </w:rPr>
      </w:pPr>
      <w:r>
        <w:rPr>
          <w:bCs/>
          <w:iCs/>
          <w:sz w:val="28"/>
          <w:szCs w:val="28"/>
        </w:rPr>
        <w:t xml:space="preserve">In </w:t>
      </w:r>
      <w:r w:rsidRPr="0032553D">
        <w:rPr>
          <w:b/>
          <w:bCs/>
          <w:i/>
          <w:iCs/>
          <w:sz w:val="28"/>
          <w:szCs w:val="28"/>
        </w:rPr>
        <w:t>R. v. Thomas</w:t>
      </w:r>
      <w:r>
        <w:rPr>
          <w:bCs/>
          <w:iCs/>
          <w:sz w:val="28"/>
          <w:szCs w:val="28"/>
        </w:rPr>
        <w:t>, 2010 MBCA, the Manitoba Court of Appeal summarized the applicable tes</w:t>
      </w:r>
      <w:r w:rsidR="00E44AC5">
        <w:rPr>
          <w:bCs/>
          <w:iCs/>
          <w:sz w:val="28"/>
          <w:szCs w:val="28"/>
        </w:rPr>
        <w:t>t</w:t>
      </w:r>
      <w:r>
        <w:rPr>
          <w:bCs/>
          <w:iCs/>
          <w:sz w:val="28"/>
          <w:szCs w:val="28"/>
        </w:rPr>
        <w:t xml:space="preserve"> by indicating that </w:t>
      </w:r>
      <w:r w:rsidR="008F7241">
        <w:rPr>
          <w:bCs/>
          <w:iCs/>
          <w:sz w:val="28"/>
          <w:szCs w:val="28"/>
        </w:rPr>
        <w:t>no</w:t>
      </w:r>
      <w:r w:rsidRPr="0032553D">
        <w:rPr>
          <w:bCs/>
          <w:iCs/>
          <w:sz w:val="28"/>
          <w:szCs w:val="28"/>
        </w:rPr>
        <w:t xml:space="preserve"> </w:t>
      </w:r>
      <w:r w:rsidR="008F7241">
        <w:rPr>
          <w:bCs/>
          <w:iCs/>
          <w:sz w:val="28"/>
          <w:szCs w:val="28"/>
        </w:rPr>
        <w:t>“</w:t>
      </w:r>
      <w:r w:rsidRPr="0032553D">
        <w:rPr>
          <w:bCs/>
          <w:iCs/>
          <w:sz w:val="28"/>
          <w:szCs w:val="28"/>
        </w:rPr>
        <w:t>informed person viewing what transpired at the trial realistically and practically and having thought the matter through would conclude that the trial judge’s words or conduct were evidence of an inability to decide the matter fairly.  There was no reasonable apprehension of bias here</w:t>
      </w:r>
      <w:r>
        <w:rPr>
          <w:bCs/>
          <w:iCs/>
          <w:sz w:val="28"/>
          <w:szCs w:val="28"/>
        </w:rPr>
        <w:t>”</w:t>
      </w:r>
      <w:r w:rsidR="00C702D3">
        <w:rPr>
          <w:bCs/>
          <w:iCs/>
          <w:sz w:val="28"/>
          <w:szCs w:val="28"/>
        </w:rPr>
        <w:t xml:space="preserve"> (also see </w:t>
      </w:r>
      <w:r w:rsidR="00C702D3" w:rsidRPr="00C702D3">
        <w:rPr>
          <w:b/>
          <w:bCs/>
          <w:i/>
          <w:iCs/>
          <w:sz w:val="28"/>
          <w:szCs w:val="28"/>
        </w:rPr>
        <w:t>R. v. Malcolm</w:t>
      </w:r>
      <w:r w:rsidR="00C702D3">
        <w:rPr>
          <w:bCs/>
          <w:iCs/>
          <w:sz w:val="28"/>
          <w:szCs w:val="28"/>
        </w:rPr>
        <w:t xml:space="preserve"> </w:t>
      </w:r>
      <w:r w:rsidR="00C702D3" w:rsidRPr="00C702D3">
        <w:rPr>
          <w:bCs/>
          <w:iCs/>
          <w:sz w:val="28"/>
          <w:szCs w:val="28"/>
        </w:rPr>
        <w:t>[2011] EWCA Crim 2069).</w:t>
      </w:r>
      <w:r w:rsidRPr="00C702D3">
        <w:rPr>
          <w:bCs/>
          <w:iCs/>
          <w:sz w:val="28"/>
          <w:szCs w:val="28"/>
        </w:rPr>
        <w:t xml:space="preserve">  </w:t>
      </w:r>
    </w:p>
    <w:p w:rsidR="00647DCE" w:rsidRPr="00647DCE" w:rsidRDefault="00647DCE" w:rsidP="00161650">
      <w:pPr>
        <w:spacing w:line="480" w:lineRule="auto"/>
        <w:ind w:firstLine="720"/>
        <w:jc w:val="both"/>
        <w:rPr>
          <w:sz w:val="28"/>
          <w:szCs w:val="28"/>
          <w:lang w:val="en-GB"/>
        </w:rPr>
      </w:pPr>
      <w:r w:rsidRPr="00647DCE">
        <w:rPr>
          <w:sz w:val="28"/>
          <w:szCs w:val="28"/>
          <w:lang w:val="en-GB"/>
        </w:rPr>
        <w:t xml:space="preserve">In </w:t>
      </w:r>
      <w:r w:rsidRPr="00647DCE">
        <w:rPr>
          <w:b/>
          <w:i/>
          <w:sz w:val="28"/>
          <w:szCs w:val="28"/>
        </w:rPr>
        <w:t>Save Guana Cay Reef Association Ltd v The Queen &amp; Ors (</w:t>
      </w:r>
      <w:smartTag w:uri="urn:schemas-microsoft-com:office:smarttags" w:element="place">
        <w:smartTag w:uri="urn:schemas-microsoft-com:office:smarttags" w:element="country-region">
          <w:r w:rsidRPr="00647DCE">
            <w:rPr>
              <w:b/>
              <w:i/>
              <w:sz w:val="28"/>
              <w:szCs w:val="28"/>
            </w:rPr>
            <w:t>Bahamas</w:t>
          </w:r>
        </w:smartTag>
      </w:smartTag>
      <w:r w:rsidRPr="00647DCE">
        <w:rPr>
          <w:b/>
          <w:i/>
          <w:sz w:val="28"/>
          <w:szCs w:val="28"/>
        </w:rPr>
        <w:t xml:space="preserve">) </w:t>
      </w:r>
      <w:r w:rsidRPr="00647DCE">
        <w:rPr>
          <w:sz w:val="28"/>
          <w:szCs w:val="28"/>
        </w:rPr>
        <w:t>[2009] UKPC 44</w:t>
      </w:r>
      <w:r w:rsidRPr="00647DCE">
        <w:rPr>
          <w:sz w:val="28"/>
          <w:szCs w:val="28"/>
          <w:lang w:val="en-GB"/>
        </w:rPr>
        <w:t>, the reasonable apprehension of bias which was alleged arose out of the following circumstances:</w:t>
      </w:r>
    </w:p>
    <w:p w:rsidR="00647DCE" w:rsidRDefault="00647DCE" w:rsidP="00161650">
      <w:pPr>
        <w:ind w:left="720"/>
        <w:jc w:val="both"/>
        <w:rPr>
          <w:sz w:val="28"/>
          <w:szCs w:val="28"/>
        </w:rPr>
      </w:pPr>
      <w:r w:rsidRPr="00647DCE">
        <w:rPr>
          <w:sz w:val="28"/>
          <w:szCs w:val="28"/>
          <w:lang w:val="en-GB"/>
        </w:rPr>
        <w:t>...</w:t>
      </w:r>
      <w:r w:rsidRPr="00647DCE">
        <w:rPr>
          <w:sz w:val="28"/>
          <w:szCs w:val="28"/>
        </w:rPr>
        <w:t xml:space="preserve">it is said that he </w:t>
      </w:r>
      <w:r w:rsidR="00F46C87">
        <w:rPr>
          <w:sz w:val="28"/>
          <w:szCs w:val="28"/>
        </w:rPr>
        <w:t xml:space="preserve">[the trial judge] </w:t>
      </w:r>
      <w:r w:rsidRPr="00647DCE">
        <w:rPr>
          <w:sz w:val="28"/>
          <w:szCs w:val="28"/>
        </w:rPr>
        <w:t xml:space="preserve">was an acting judge appointed on a temporary basis (that is on a six-month renewable contract) and that the Government of the </w:t>
      </w:r>
      <w:smartTag w:uri="urn:schemas-microsoft-com:office:smarttags" w:element="country-region">
        <w:smartTag w:uri="urn:schemas-microsoft-com:office:smarttags" w:element="place">
          <w:r w:rsidRPr="00647DCE">
            <w:rPr>
              <w:sz w:val="28"/>
              <w:szCs w:val="28"/>
            </w:rPr>
            <w:t>Bahamas</w:t>
          </w:r>
        </w:smartTag>
      </w:smartTag>
      <w:r w:rsidRPr="00647DCE">
        <w:rPr>
          <w:sz w:val="28"/>
          <w:szCs w:val="28"/>
        </w:rPr>
        <w:t xml:space="preserve"> was at the time in default in failing to review judges</w:t>
      </w:r>
      <w:smartTag w:uri="urn:schemas-microsoft-com:office:smarttags" w:element="PersonName">
        <w:r w:rsidRPr="00647DCE">
          <w:rPr>
            <w:sz w:val="28"/>
            <w:szCs w:val="28"/>
          </w:rPr>
          <w:t>'</w:t>
        </w:r>
      </w:smartTag>
      <w:r w:rsidRPr="00647DCE">
        <w:rPr>
          <w:sz w:val="28"/>
          <w:szCs w:val="28"/>
        </w:rPr>
        <w:t xml:space="preserve"> salaries. Miss </w:t>
      </w:r>
      <w:smartTag w:uri="urn:schemas-microsoft-com:office:smarttags" w:element="country-region">
        <w:smartTag w:uri="urn:schemas-microsoft-com:office:smarttags" w:element="place">
          <w:r w:rsidRPr="00647DCE">
            <w:rPr>
              <w:sz w:val="28"/>
              <w:szCs w:val="28"/>
            </w:rPr>
            <w:t>Jordan</w:t>
          </w:r>
        </w:smartTag>
      </w:smartTag>
      <w:r w:rsidRPr="00647DCE">
        <w:rPr>
          <w:sz w:val="28"/>
          <w:szCs w:val="28"/>
        </w:rPr>
        <w:t xml:space="preserve"> added, in reinforcement of those main grounds, that the acting judge had been a senator in the governing party, and that the judicial review proceedings were of particular political sensitivity.</w:t>
      </w:r>
    </w:p>
    <w:p w:rsidR="0038684C" w:rsidRDefault="0038684C" w:rsidP="00161650">
      <w:pPr>
        <w:jc w:val="both"/>
        <w:rPr>
          <w:sz w:val="28"/>
          <w:szCs w:val="28"/>
        </w:rPr>
      </w:pPr>
    </w:p>
    <w:p w:rsidR="004352B6" w:rsidRDefault="004352B6" w:rsidP="00161650">
      <w:pPr>
        <w:spacing w:line="480" w:lineRule="auto"/>
        <w:ind w:firstLine="720"/>
        <w:jc w:val="both"/>
        <w:rPr>
          <w:sz w:val="28"/>
          <w:szCs w:val="28"/>
          <w:lang w:val="en-GB"/>
        </w:rPr>
      </w:pPr>
    </w:p>
    <w:p w:rsidR="00647DCE" w:rsidRPr="00647DCE" w:rsidRDefault="00647DCE" w:rsidP="00161650">
      <w:pPr>
        <w:spacing w:line="480" w:lineRule="auto"/>
        <w:ind w:firstLine="720"/>
        <w:jc w:val="both"/>
        <w:rPr>
          <w:sz w:val="28"/>
          <w:szCs w:val="28"/>
          <w:lang w:val="en-GB"/>
        </w:rPr>
      </w:pPr>
      <w:r w:rsidRPr="00647DCE">
        <w:rPr>
          <w:sz w:val="28"/>
          <w:szCs w:val="28"/>
          <w:lang w:val="en-GB"/>
        </w:rPr>
        <w:t>The Privy Council did not see this as raising a reasonable apprehension of bias</w:t>
      </w:r>
      <w:r w:rsidR="008F7241">
        <w:rPr>
          <w:sz w:val="28"/>
          <w:szCs w:val="28"/>
          <w:lang w:val="en-GB"/>
        </w:rPr>
        <w:t>.  It indicated that “</w:t>
      </w:r>
      <w:r w:rsidR="008F7241" w:rsidRPr="00647DCE">
        <w:rPr>
          <w:sz w:val="28"/>
          <w:szCs w:val="28"/>
        </w:rPr>
        <w:t xml:space="preserve">there is no single test that is </w:t>
      </w:r>
      <w:r w:rsidR="008F7241" w:rsidRPr="00647DCE">
        <w:rPr>
          <w:sz w:val="28"/>
          <w:szCs w:val="28"/>
        </w:rPr>
        <w:lastRenderedPageBreak/>
        <w:t xml:space="preserve">decisive. </w:t>
      </w:r>
      <w:r w:rsidR="004352B6">
        <w:rPr>
          <w:sz w:val="28"/>
          <w:szCs w:val="28"/>
        </w:rPr>
        <w:t xml:space="preserve"> </w:t>
      </w:r>
      <w:r w:rsidR="008F7241" w:rsidRPr="00647DCE">
        <w:rPr>
          <w:sz w:val="28"/>
          <w:szCs w:val="28"/>
        </w:rPr>
        <w:t>All the circumstances have to be taken into acco</w:t>
      </w:r>
      <w:r w:rsidR="008F7241">
        <w:rPr>
          <w:sz w:val="28"/>
          <w:szCs w:val="28"/>
        </w:rPr>
        <w:t>unt”</w:t>
      </w:r>
      <w:r w:rsidRPr="00647DCE">
        <w:rPr>
          <w:sz w:val="28"/>
          <w:szCs w:val="28"/>
          <w:lang w:val="en-GB"/>
        </w:rPr>
        <w:t xml:space="preserve"> (at paragraphs 51 and 52):</w:t>
      </w:r>
    </w:p>
    <w:p w:rsidR="00647DCE" w:rsidRPr="00647DCE" w:rsidRDefault="00647DCE" w:rsidP="00161650">
      <w:pPr>
        <w:spacing w:before="100" w:beforeAutospacing="1" w:after="100" w:afterAutospacing="1"/>
        <w:ind w:left="720"/>
        <w:jc w:val="both"/>
        <w:rPr>
          <w:sz w:val="28"/>
          <w:szCs w:val="28"/>
        </w:rPr>
      </w:pPr>
      <w:bookmarkStart w:id="2" w:name="para51"/>
      <w:r w:rsidRPr="00647DCE">
        <w:rPr>
          <w:sz w:val="28"/>
          <w:szCs w:val="28"/>
        </w:rPr>
        <w:t xml:space="preserve">Both before and since </w:t>
      </w:r>
      <w:r w:rsidRPr="00647DCE">
        <w:rPr>
          <w:i/>
          <w:iCs/>
          <w:sz w:val="28"/>
          <w:szCs w:val="28"/>
        </w:rPr>
        <w:t>Porter v Magill</w:t>
      </w:r>
      <w:r w:rsidRPr="00647DCE">
        <w:rPr>
          <w:sz w:val="28"/>
          <w:szCs w:val="28"/>
        </w:rPr>
        <w:t xml:space="preserve"> there have been cases considering whether the fact that a judge has no long-term security of tenure would lead a fair-minded and informed observer to conclude that there was a real possibility of bias, because of the temporary judge</w:t>
      </w:r>
      <w:smartTag w:uri="urn:schemas-microsoft-com:office:smarttags" w:element="PersonName">
        <w:r w:rsidRPr="00647DCE">
          <w:rPr>
            <w:sz w:val="28"/>
            <w:szCs w:val="28"/>
          </w:rPr>
          <w:t>'</w:t>
        </w:r>
      </w:smartTag>
      <w:r w:rsidRPr="00647DCE">
        <w:rPr>
          <w:sz w:val="28"/>
          <w:szCs w:val="28"/>
        </w:rPr>
        <w:t xml:space="preserve">s inclination to be over-deferential to those who had power to terminate or renew his appointment. </w:t>
      </w:r>
      <w:r w:rsidRPr="00C30EC9">
        <w:rPr>
          <w:sz w:val="28"/>
          <w:szCs w:val="28"/>
        </w:rPr>
        <w:t xml:space="preserve">The most important authorities are </w:t>
      </w:r>
      <w:r w:rsidRPr="00C30EC9">
        <w:rPr>
          <w:i/>
          <w:iCs/>
          <w:sz w:val="28"/>
          <w:szCs w:val="28"/>
        </w:rPr>
        <w:t>Starrs v Ruxton</w:t>
      </w:r>
      <w:r w:rsidRPr="00C30EC9">
        <w:rPr>
          <w:sz w:val="28"/>
          <w:szCs w:val="28"/>
        </w:rPr>
        <w:t xml:space="preserve"> </w:t>
      </w:r>
      <w:bookmarkEnd w:id="2"/>
      <w:r w:rsidRPr="00C30EC9">
        <w:rPr>
          <w:sz w:val="28"/>
          <w:szCs w:val="28"/>
        </w:rPr>
        <w:fldChar w:fldCharType="begin"/>
      </w:r>
      <w:r w:rsidRPr="00C30EC9">
        <w:rPr>
          <w:sz w:val="28"/>
          <w:szCs w:val="28"/>
        </w:rPr>
        <w:instrText xml:space="preserve"> HYPERLINK "http://www.bailii.org/cgi-bin/redirect.cgi?path=/scot/cases/ScotHC/1999/2000_JC_208.html" \o "Link to BAILII version" </w:instrText>
      </w:r>
      <w:r w:rsidRPr="00C30EC9">
        <w:rPr>
          <w:sz w:val="28"/>
          <w:szCs w:val="28"/>
        </w:rPr>
        <w:fldChar w:fldCharType="separate"/>
      </w:r>
      <w:r w:rsidRPr="00C30EC9">
        <w:rPr>
          <w:rStyle w:val="Hyperlink"/>
          <w:rFonts w:ascii="Times New Roman" w:hAnsi="Times New Roman"/>
          <w:color w:val="auto"/>
          <w:sz w:val="28"/>
          <w:szCs w:val="28"/>
        </w:rPr>
        <w:t>2000 JC 208</w:t>
      </w:r>
      <w:r w:rsidRPr="00C30EC9">
        <w:rPr>
          <w:sz w:val="28"/>
          <w:szCs w:val="28"/>
        </w:rPr>
        <w:fldChar w:fldCharType="end"/>
      </w:r>
      <w:r w:rsidRPr="00C30EC9">
        <w:rPr>
          <w:sz w:val="28"/>
          <w:szCs w:val="28"/>
        </w:rPr>
        <w:t xml:space="preserve">, </w:t>
      </w:r>
      <w:r w:rsidRPr="00C30EC9">
        <w:rPr>
          <w:i/>
          <w:iCs/>
          <w:sz w:val="28"/>
          <w:szCs w:val="28"/>
        </w:rPr>
        <w:t>Millar v Dickson</w:t>
      </w:r>
      <w:r w:rsidRPr="00C30EC9">
        <w:rPr>
          <w:sz w:val="28"/>
          <w:szCs w:val="28"/>
        </w:rPr>
        <w:t xml:space="preserve"> </w:t>
      </w:r>
      <w:hyperlink r:id="rId9" w:tooltip="Link to BAILII version" w:history="1">
        <w:r w:rsidRPr="00C30EC9">
          <w:rPr>
            <w:rStyle w:val="Hyperlink"/>
            <w:rFonts w:ascii="Times New Roman" w:hAnsi="Times New Roman"/>
            <w:color w:val="auto"/>
            <w:sz w:val="28"/>
            <w:szCs w:val="28"/>
          </w:rPr>
          <w:t>[2002] 1 WLR 1615</w:t>
        </w:r>
      </w:hyperlink>
      <w:r w:rsidRPr="00C30EC9">
        <w:rPr>
          <w:sz w:val="28"/>
          <w:szCs w:val="28"/>
        </w:rPr>
        <w:t xml:space="preserve"> and </w:t>
      </w:r>
      <w:smartTag w:uri="urn:schemas-microsoft-com:office:smarttags" w:element="place">
        <w:smartTag w:uri="urn:schemas-microsoft-com:office:smarttags" w:element="City">
          <w:r w:rsidRPr="00C30EC9">
            <w:rPr>
              <w:i/>
              <w:iCs/>
              <w:sz w:val="28"/>
              <w:szCs w:val="28"/>
            </w:rPr>
            <w:t>Kearney</w:t>
          </w:r>
        </w:smartTag>
      </w:smartTag>
      <w:r w:rsidRPr="00C30EC9">
        <w:rPr>
          <w:i/>
          <w:iCs/>
          <w:sz w:val="28"/>
          <w:szCs w:val="28"/>
        </w:rPr>
        <w:t xml:space="preserve"> v HM Advocate</w:t>
      </w:r>
      <w:r w:rsidRPr="00C30EC9">
        <w:rPr>
          <w:sz w:val="28"/>
          <w:szCs w:val="28"/>
        </w:rPr>
        <w:t xml:space="preserve"> 2</w:t>
      </w:r>
      <w:r w:rsidRPr="00647DCE">
        <w:rPr>
          <w:sz w:val="28"/>
          <w:szCs w:val="28"/>
        </w:rPr>
        <w:t xml:space="preserve">006 </w:t>
      </w:r>
      <w:proofErr w:type="gramStart"/>
      <w:r w:rsidRPr="00647DCE">
        <w:rPr>
          <w:sz w:val="28"/>
          <w:szCs w:val="28"/>
        </w:rPr>
        <w:t>SC(</w:t>
      </w:r>
      <w:proofErr w:type="gramEnd"/>
      <w:r w:rsidRPr="00647DCE">
        <w:rPr>
          <w:sz w:val="28"/>
          <w:szCs w:val="28"/>
        </w:rPr>
        <w:t xml:space="preserve">PC) 1. </w:t>
      </w:r>
      <w:smartTag w:uri="urn:schemas-microsoft-com:office:smarttags" w:element="City">
        <w:smartTag w:uri="urn:schemas-microsoft-com:office:smarttags" w:element="place">
          <w:r w:rsidRPr="00647DCE">
            <w:rPr>
              <w:i/>
              <w:iCs/>
              <w:sz w:val="28"/>
              <w:szCs w:val="28"/>
            </w:rPr>
            <w:t>Kearney</w:t>
          </w:r>
        </w:smartTag>
      </w:smartTag>
      <w:r w:rsidRPr="00647DCE">
        <w:rPr>
          <w:sz w:val="28"/>
          <w:szCs w:val="28"/>
        </w:rPr>
        <w:t xml:space="preserve"> shows that there is no single test that is decisive. All the circumstances have to be taken into account. The decisive point invalidating the use of temporary sheriffs was the fact that under section 11(4) of the Sheriff Courts (Scotland) Act 1971 the appointment of a temporary sheriff could be "recalled" (that is, terminated) by the executive at any time and for any reason; this was reinforced by practical arrangements (for instance, an age limit) which had no statutory authority. </w:t>
      </w:r>
      <w:smartTag w:uri="urn:schemas-microsoft-com:office:smarttags" w:element="place">
        <w:smartTag w:uri="urn:schemas-microsoft-com:office:smarttags" w:element="City">
          <w:r w:rsidRPr="00647DCE">
            <w:rPr>
              <w:i/>
              <w:iCs/>
              <w:sz w:val="28"/>
              <w:szCs w:val="28"/>
            </w:rPr>
            <w:t>Kearney</w:t>
          </w:r>
        </w:smartTag>
      </w:smartTag>
      <w:r w:rsidRPr="00647DCE">
        <w:rPr>
          <w:sz w:val="28"/>
          <w:szCs w:val="28"/>
        </w:rPr>
        <w:t xml:space="preserve"> upheld the validity of the appointment of temporary judges of the High Court of Justiciary, where those difficulties did not arise (see the opinion of Lord Hope at paras 51-53). </w:t>
      </w:r>
    </w:p>
    <w:p w:rsidR="00647DCE" w:rsidRPr="008415DA" w:rsidRDefault="00647DCE" w:rsidP="00161650">
      <w:pPr>
        <w:spacing w:before="100" w:beforeAutospacing="1" w:after="100" w:afterAutospacing="1"/>
        <w:ind w:left="720"/>
        <w:jc w:val="both"/>
        <w:rPr>
          <w:color w:val="FF0000"/>
          <w:sz w:val="28"/>
          <w:szCs w:val="28"/>
        </w:rPr>
      </w:pPr>
      <w:bookmarkStart w:id="3" w:name="para52"/>
      <w:r w:rsidRPr="00647DCE">
        <w:rPr>
          <w:sz w:val="28"/>
          <w:szCs w:val="28"/>
        </w:rPr>
        <w:t xml:space="preserve">Section 95 of the Constitution of the </w:t>
      </w:r>
      <w:smartTag w:uri="urn:schemas-microsoft-com:office:smarttags" w:element="country-region">
        <w:smartTag w:uri="urn:schemas-microsoft-com:office:smarttags" w:element="place">
          <w:r w:rsidRPr="00647DCE">
            <w:rPr>
              <w:sz w:val="28"/>
              <w:szCs w:val="28"/>
            </w:rPr>
            <w:t>Bahamas</w:t>
          </w:r>
        </w:smartTag>
      </w:smartTag>
      <w:r w:rsidRPr="00647DCE">
        <w:rPr>
          <w:sz w:val="28"/>
          <w:szCs w:val="28"/>
        </w:rPr>
        <w:t xml:space="preserve"> makes express provision for the appointment of an acting Justice of the Supreme Court. His or her appointment may be either for a fixed period or until revoked by the Governor-General acting on the advice of the Judicial and Legal Service Commission (established under section 116 of the Constitution). In this case the acting judge was appointed for a fixed period of six months. During that period he had the same security as a permanent judge in that he could be removed only for inability to discharge his functions, or for misbehaviour (section 96(4) and (5) of the Constitution). He was, their Lordships were told, approaching retirement age. </w:t>
      </w:r>
      <w:proofErr w:type="gramStart"/>
      <w:r w:rsidRPr="00647DCE">
        <w:rPr>
          <w:sz w:val="28"/>
          <w:szCs w:val="28"/>
        </w:rPr>
        <w:t>Neither the fact that he had been a senator, nor the fact that judges</w:t>
      </w:r>
      <w:smartTag w:uri="urn:schemas-microsoft-com:office:smarttags" w:element="PersonName">
        <w:r w:rsidRPr="00647DCE">
          <w:rPr>
            <w:sz w:val="28"/>
            <w:szCs w:val="28"/>
          </w:rPr>
          <w:t>'</w:t>
        </w:r>
      </w:smartTag>
      <w:r w:rsidRPr="00647DCE">
        <w:rPr>
          <w:sz w:val="28"/>
          <w:szCs w:val="28"/>
        </w:rPr>
        <w:t xml:space="preserve"> salaries were at the time perceived as less than generous, is relevant.</w:t>
      </w:r>
      <w:proofErr w:type="gramEnd"/>
      <w:r w:rsidRPr="00647DCE">
        <w:rPr>
          <w:sz w:val="28"/>
          <w:szCs w:val="28"/>
        </w:rPr>
        <w:t xml:space="preserve"> Nor is the fact that the case may have been perceived as controversial. Their Lordships, like the courts below, reject the assertion of apparent bias.</w:t>
      </w:r>
      <w:r w:rsidRPr="008415DA">
        <w:rPr>
          <w:color w:val="FF0000"/>
          <w:sz w:val="28"/>
          <w:szCs w:val="28"/>
        </w:rPr>
        <w:t xml:space="preserve"> </w:t>
      </w:r>
      <w:bookmarkEnd w:id="3"/>
    </w:p>
    <w:p w:rsidR="00E81731" w:rsidRPr="00E81731" w:rsidRDefault="00E81731" w:rsidP="006C6D03">
      <w:pPr>
        <w:jc w:val="center"/>
        <w:rPr>
          <w:b/>
          <w:bCs/>
          <w:iCs/>
          <w:sz w:val="28"/>
          <w:szCs w:val="28"/>
        </w:rPr>
      </w:pPr>
      <w:r w:rsidRPr="00E81731">
        <w:rPr>
          <w:b/>
          <w:bCs/>
          <w:iCs/>
          <w:sz w:val="28"/>
          <w:szCs w:val="28"/>
        </w:rPr>
        <w:lastRenderedPageBreak/>
        <w:t xml:space="preserve">THE IMPORTANCE OF AN EVIDENTIARY BASIS </w:t>
      </w:r>
      <w:r>
        <w:rPr>
          <w:b/>
          <w:bCs/>
          <w:iCs/>
          <w:sz w:val="28"/>
          <w:szCs w:val="28"/>
        </w:rPr>
        <w:t xml:space="preserve">FOR THE RECUSAL REQUEST </w:t>
      </w:r>
      <w:r w:rsidRPr="00E81731">
        <w:rPr>
          <w:b/>
          <w:bCs/>
          <w:iCs/>
          <w:sz w:val="28"/>
          <w:szCs w:val="28"/>
        </w:rPr>
        <w:t>BEING ESTABLISHED</w:t>
      </w:r>
    </w:p>
    <w:p w:rsidR="00AF0E11" w:rsidRDefault="00AF0E11" w:rsidP="00161650">
      <w:pPr>
        <w:jc w:val="both"/>
        <w:rPr>
          <w:bCs/>
          <w:iCs/>
          <w:sz w:val="28"/>
          <w:szCs w:val="28"/>
        </w:rPr>
      </w:pPr>
    </w:p>
    <w:p w:rsidR="002455C3" w:rsidRDefault="00AF0E11" w:rsidP="00161650">
      <w:pPr>
        <w:spacing w:line="480" w:lineRule="auto"/>
        <w:ind w:firstLine="720"/>
        <w:jc w:val="both"/>
        <w:rPr>
          <w:sz w:val="28"/>
          <w:szCs w:val="28"/>
        </w:rPr>
      </w:pPr>
      <w:r w:rsidRPr="00AF0E11">
        <w:rPr>
          <w:sz w:val="28"/>
          <w:szCs w:val="28"/>
          <w:lang w:val="en-GB"/>
        </w:rPr>
        <w:t xml:space="preserve">In </w:t>
      </w:r>
      <w:r w:rsidR="00E81731">
        <w:rPr>
          <w:sz w:val="28"/>
          <w:szCs w:val="28"/>
          <w:lang w:val="en-GB"/>
        </w:rPr>
        <w:t>the</w:t>
      </w:r>
      <w:r w:rsidR="00E81731" w:rsidRPr="00F46C87">
        <w:rPr>
          <w:i/>
          <w:sz w:val="28"/>
          <w:szCs w:val="28"/>
          <w:lang w:val="en-GB"/>
        </w:rPr>
        <w:t xml:space="preserve"> C.L.Q.</w:t>
      </w:r>
      <w:r w:rsidR="00E81731">
        <w:rPr>
          <w:sz w:val="28"/>
          <w:szCs w:val="28"/>
          <w:lang w:val="en-GB"/>
        </w:rPr>
        <w:t xml:space="preserve"> paper, I referred to the importance of an evidentiary basis for </w:t>
      </w:r>
      <w:r w:rsidR="00E14D32">
        <w:rPr>
          <w:sz w:val="28"/>
          <w:szCs w:val="28"/>
          <w:lang w:val="en-GB"/>
        </w:rPr>
        <w:t>a</w:t>
      </w:r>
      <w:r w:rsidR="00E81731">
        <w:rPr>
          <w:sz w:val="28"/>
          <w:szCs w:val="28"/>
          <w:lang w:val="en-GB"/>
        </w:rPr>
        <w:t xml:space="preserve"> recusal argument being established.  </w:t>
      </w:r>
      <w:r w:rsidR="00726C4F">
        <w:rPr>
          <w:sz w:val="28"/>
          <w:szCs w:val="28"/>
          <w:lang w:val="en-GB"/>
        </w:rPr>
        <w:t xml:space="preserve">This issue was </w:t>
      </w:r>
      <w:r w:rsidR="002455C3">
        <w:rPr>
          <w:sz w:val="28"/>
          <w:szCs w:val="28"/>
          <w:lang w:val="en-GB"/>
        </w:rPr>
        <w:t xml:space="preserve">considered by the Ontario Court of Appeal in </w:t>
      </w:r>
      <w:r w:rsidRPr="00AF0E11">
        <w:rPr>
          <w:b/>
          <w:i/>
          <w:sz w:val="28"/>
          <w:szCs w:val="28"/>
        </w:rPr>
        <w:t>R. v. Fell</w:t>
      </w:r>
      <w:r w:rsidRPr="00AF0E11">
        <w:rPr>
          <w:sz w:val="28"/>
          <w:szCs w:val="28"/>
        </w:rPr>
        <w:t>, </w:t>
      </w:r>
      <w:r w:rsidR="00726C4F">
        <w:rPr>
          <w:sz w:val="28"/>
          <w:szCs w:val="28"/>
        </w:rPr>
        <w:t>[</w:t>
      </w:r>
      <w:r w:rsidRPr="00AF0E11">
        <w:rPr>
          <w:sz w:val="28"/>
          <w:szCs w:val="28"/>
        </w:rPr>
        <w:t>2009</w:t>
      </w:r>
      <w:r w:rsidR="00726C4F">
        <w:rPr>
          <w:sz w:val="28"/>
          <w:szCs w:val="28"/>
        </w:rPr>
        <w:t>] O.J. No. 2828.</w:t>
      </w:r>
    </w:p>
    <w:p w:rsidR="008F7241" w:rsidRDefault="00726C4F" w:rsidP="00161650">
      <w:pPr>
        <w:spacing w:line="480" w:lineRule="auto"/>
        <w:ind w:firstLine="720"/>
        <w:jc w:val="both"/>
        <w:rPr>
          <w:sz w:val="28"/>
          <w:szCs w:val="28"/>
          <w:lang w:val="en-CA"/>
        </w:rPr>
      </w:pPr>
      <w:r>
        <w:rPr>
          <w:sz w:val="28"/>
          <w:szCs w:val="28"/>
        </w:rPr>
        <w:t xml:space="preserve">In </w:t>
      </w:r>
      <w:r w:rsidRPr="00726C4F">
        <w:rPr>
          <w:b/>
          <w:i/>
          <w:sz w:val="28"/>
          <w:szCs w:val="28"/>
        </w:rPr>
        <w:t>Fell</w:t>
      </w:r>
      <w:r>
        <w:rPr>
          <w:sz w:val="28"/>
          <w:szCs w:val="28"/>
        </w:rPr>
        <w:t xml:space="preserve">, </w:t>
      </w:r>
      <w:r w:rsidR="00AF0E11" w:rsidRPr="00AF0E11">
        <w:rPr>
          <w:sz w:val="28"/>
          <w:szCs w:val="28"/>
        </w:rPr>
        <w:t>the accused overheard the trial judge make a comment in a hallway concerning a witness, before the cross-examination of that witness by the accused’s counsel had been completed.</w:t>
      </w:r>
      <w:r w:rsidR="00E81731">
        <w:rPr>
          <w:sz w:val="28"/>
          <w:szCs w:val="28"/>
        </w:rPr>
        <w:t xml:space="preserve">  </w:t>
      </w:r>
      <w:r w:rsidR="00AF0E11" w:rsidRPr="00AF0E11">
        <w:rPr>
          <w:sz w:val="28"/>
          <w:szCs w:val="28"/>
        </w:rPr>
        <w:t xml:space="preserve">The accused alleged that he overheard the trial judge say that </w:t>
      </w:r>
      <w:r w:rsidR="008F7241">
        <w:rPr>
          <w:sz w:val="28"/>
          <w:szCs w:val="28"/>
        </w:rPr>
        <w:t>this witness was “</w:t>
      </w:r>
      <w:r w:rsidR="00AF0E11" w:rsidRPr="00AF0E11">
        <w:rPr>
          <w:sz w:val="28"/>
          <w:szCs w:val="28"/>
          <w:lang w:val="en-CA"/>
        </w:rPr>
        <w:t xml:space="preserve">so far the most credible and insightful witness.”  This assertion was put forward by the accused’s counsel </w:t>
      </w:r>
      <w:r w:rsidR="004B3EA1">
        <w:rPr>
          <w:sz w:val="28"/>
          <w:szCs w:val="28"/>
          <w:lang w:val="en-CA"/>
        </w:rPr>
        <w:t xml:space="preserve">as a basis for </w:t>
      </w:r>
      <w:r w:rsidR="00AF0E11" w:rsidRPr="00AF0E11">
        <w:rPr>
          <w:sz w:val="28"/>
          <w:szCs w:val="28"/>
          <w:lang w:val="en-CA"/>
        </w:rPr>
        <w:t>asking the trial judge recuse himself.  The trial judge declined to do so.  He agreed that he had made a comment concerning the witness, but denied that he mad</w:t>
      </w:r>
      <w:r>
        <w:rPr>
          <w:sz w:val="28"/>
          <w:szCs w:val="28"/>
          <w:lang w:val="en-CA"/>
        </w:rPr>
        <w:t>e</w:t>
      </w:r>
      <w:r w:rsidR="00AF0E11" w:rsidRPr="00AF0E11">
        <w:rPr>
          <w:sz w:val="28"/>
          <w:szCs w:val="28"/>
          <w:lang w:val="en-CA"/>
        </w:rPr>
        <w:t xml:space="preserve"> the </w:t>
      </w:r>
      <w:r w:rsidR="00744D11">
        <w:rPr>
          <w:sz w:val="28"/>
          <w:szCs w:val="28"/>
          <w:lang w:val="en-CA"/>
        </w:rPr>
        <w:t xml:space="preserve">specific </w:t>
      </w:r>
      <w:r w:rsidR="00AF0E11" w:rsidRPr="00AF0E11">
        <w:rPr>
          <w:sz w:val="28"/>
          <w:szCs w:val="28"/>
          <w:lang w:val="en-CA"/>
        </w:rPr>
        <w:t xml:space="preserve">comment alleged.  </w:t>
      </w:r>
    </w:p>
    <w:p w:rsidR="00AF0E11" w:rsidRDefault="00AF0E11" w:rsidP="00161650">
      <w:pPr>
        <w:spacing w:line="480" w:lineRule="auto"/>
        <w:ind w:firstLine="720"/>
        <w:jc w:val="both"/>
        <w:rPr>
          <w:sz w:val="28"/>
          <w:szCs w:val="28"/>
          <w:lang w:val="en-CA"/>
        </w:rPr>
      </w:pPr>
      <w:r w:rsidRPr="00AF0E11">
        <w:rPr>
          <w:sz w:val="28"/>
          <w:szCs w:val="28"/>
          <w:lang w:val="en-CA"/>
        </w:rPr>
        <w:t>The Ontario Court of Appeal affirmed the trial judge’s decision.  As regards the manner in which the issue of a reasonable apprehension of bias was raised, the Court of Appeal was critica</w:t>
      </w:r>
      <w:r w:rsidR="00A01F0A">
        <w:rPr>
          <w:sz w:val="28"/>
          <w:szCs w:val="28"/>
          <w:lang w:val="en-CA"/>
        </w:rPr>
        <w:t>l of the lack of an evidentiary basis for the recusal application having been laid</w:t>
      </w:r>
      <w:r w:rsidR="008F7241">
        <w:rPr>
          <w:sz w:val="28"/>
          <w:szCs w:val="28"/>
          <w:lang w:val="en-CA"/>
        </w:rPr>
        <w:t>.  It concluded that w</w:t>
      </w:r>
      <w:r w:rsidR="008F7241" w:rsidRPr="00AF0E11">
        <w:rPr>
          <w:sz w:val="28"/>
          <w:szCs w:val="28"/>
          <w:lang w:val="en-CA"/>
        </w:rPr>
        <w:t xml:space="preserve">hen an allegation of bias or reasonable apprehension of bias is made against a trial judge, </w:t>
      </w:r>
      <w:r w:rsidR="008F7241">
        <w:rPr>
          <w:sz w:val="28"/>
          <w:szCs w:val="28"/>
          <w:lang w:val="en-CA"/>
        </w:rPr>
        <w:t>“</w:t>
      </w:r>
      <w:proofErr w:type="gramStart"/>
      <w:r w:rsidR="008F7241" w:rsidRPr="00AF0E11">
        <w:rPr>
          <w:sz w:val="28"/>
          <w:szCs w:val="28"/>
          <w:lang w:val="en-CA"/>
        </w:rPr>
        <w:t>counsel have</w:t>
      </w:r>
      <w:proofErr w:type="gramEnd"/>
      <w:r w:rsidR="008F7241" w:rsidRPr="00AF0E11">
        <w:rPr>
          <w:sz w:val="28"/>
          <w:szCs w:val="28"/>
          <w:lang w:val="en-CA"/>
        </w:rPr>
        <w:t xml:space="preserve"> an obligation to prepare and provide the court with a record of the evidence they rely on in support of this serious allegation</w:t>
      </w:r>
      <w:r w:rsidR="008F7241">
        <w:rPr>
          <w:sz w:val="28"/>
          <w:szCs w:val="28"/>
          <w:lang w:val="en-CA"/>
        </w:rPr>
        <w:t>”</w:t>
      </w:r>
      <w:r w:rsidRPr="00AF0E11">
        <w:rPr>
          <w:sz w:val="28"/>
          <w:szCs w:val="28"/>
          <w:lang w:val="en-CA"/>
        </w:rPr>
        <w:t>:</w:t>
      </w:r>
    </w:p>
    <w:p w:rsidR="00AF0E11" w:rsidRDefault="00AF0E11" w:rsidP="00161650">
      <w:pPr>
        <w:ind w:left="720"/>
        <w:jc w:val="both"/>
        <w:rPr>
          <w:sz w:val="28"/>
          <w:szCs w:val="28"/>
          <w:lang w:val="en-CA"/>
        </w:rPr>
      </w:pPr>
      <w:r w:rsidRPr="00AF0E11">
        <w:rPr>
          <w:sz w:val="28"/>
          <w:szCs w:val="28"/>
          <w:lang w:val="en-CA"/>
        </w:rPr>
        <w:lastRenderedPageBreak/>
        <w:t>The appellant did not give evidence about what he was alleged to have overheard.  The allegations were put before the court through the submissions of counsel. There was no evidence called.  In particular, no effort was made to call the deputy to whom the comments were allegedly made nor the escorting officer who was with the appellant at the time the comments are alleged to have been made.  When an allegation of bias or reasonable apprehension of bias is made against a trial judge, counsel have an obligation to prepare and provide the court with a record of the evidence they rely on in support of this serious allegation.  Such a record then is available for the trial judge’s consideration and ruling, as well as for any appellate review of that judge’s decision down the road.  There was no such record in this case.</w:t>
      </w:r>
    </w:p>
    <w:p w:rsidR="00171E25" w:rsidRDefault="00171E25" w:rsidP="00161650">
      <w:pPr>
        <w:jc w:val="both"/>
        <w:rPr>
          <w:sz w:val="28"/>
          <w:szCs w:val="28"/>
          <w:lang w:val="en-CA"/>
        </w:rPr>
      </w:pPr>
    </w:p>
    <w:p w:rsidR="00171E25" w:rsidRDefault="00171E25" w:rsidP="006C6D03">
      <w:pPr>
        <w:spacing w:line="480" w:lineRule="auto"/>
        <w:jc w:val="center"/>
        <w:rPr>
          <w:b/>
          <w:sz w:val="28"/>
          <w:szCs w:val="28"/>
          <w:lang w:val="en-CA"/>
        </w:rPr>
      </w:pPr>
      <w:r>
        <w:rPr>
          <w:b/>
          <w:sz w:val="28"/>
          <w:szCs w:val="28"/>
          <w:lang w:val="en-CA"/>
        </w:rPr>
        <w:t>WHEN SHOULD THE ISSUE BE RAISED?</w:t>
      </w:r>
    </w:p>
    <w:p w:rsidR="00171E25" w:rsidRPr="00171E25" w:rsidRDefault="00171E25" w:rsidP="00161650">
      <w:pPr>
        <w:spacing w:line="480" w:lineRule="auto"/>
        <w:jc w:val="both"/>
        <w:rPr>
          <w:b/>
          <w:sz w:val="28"/>
          <w:szCs w:val="28"/>
          <w:lang w:val="en-CA"/>
        </w:rPr>
      </w:pPr>
      <w:r>
        <w:rPr>
          <w:b/>
          <w:sz w:val="28"/>
          <w:szCs w:val="28"/>
          <w:lang w:val="en-CA"/>
        </w:rPr>
        <w:tab/>
      </w:r>
      <w:r w:rsidR="008A0161" w:rsidRPr="008A0161">
        <w:rPr>
          <w:sz w:val="28"/>
          <w:szCs w:val="28"/>
          <w:lang w:val="en-CA"/>
        </w:rPr>
        <w:t xml:space="preserve">In the </w:t>
      </w:r>
      <w:r w:rsidR="008A0161" w:rsidRPr="008A0161">
        <w:rPr>
          <w:i/>
          <w:sz w:val="28"/>
          <w:szCs w:val="28"/>
          <w:lang w:val="en-CA"/>
        </w:rPr>
        <w:t>C.L.Q.</w:t>
      </w:r>
      <w:r w:rsidR="008A0161" w:rsidRPr="008A0161">
        <w:rPr>
          <w:sz w:val="28"/>
          <w:szCs w:val="28"/>
          <w:lang w:val="en-CA"/>
        </w:rPr>
        <w:t xml:space="preserve"> </w:t>
      </w:r>
      <w:r w:rsidR="008A0161">
        <w:rPr>
          <w:sz w:val="28"/>
          <w:szCs w:val="28"/>
          <w:lang w:val="en-CA"/>
        </w:rPr>
        <w:t>paper I noted that “ideally, any allegation of an apprehension of impartially or a disqualifying event having occurred should be raised well before a tr</w:t>
      </w:r>
      <w:r w:rsidR="008F7241">
        <w:rPr>
          <w:sz w:val="28"/>
          <w:szCs w:val="28"/>
          <w:lang w:val="en-CA"/>
        </w:rPr>
        <w:t>i</w:t>
      </w:r>
      <w:r w:rsidR="008A0161">
        <w:rPr>
          <w:sz w:val="28"/>
          <w:szCs w:val="28"/>
          <w:lang w:val="en-CA"/>
        </w:rPr>
        <w:t>al is scheduled to commence.” I</w:t>
      </w:r>
      <w:r>
        <w:rPr>
          <w:sz w:val="28"/>
          <w:szCs w:val="28"/>
          <w:lang w:val="en-CA"/>
        </w:rPr>
        <w:t xml:space="preserve">n </w:t>
      </w:r>
      <w:r w:rsidR="00536E27" w:rsidRPr="00536E27">
        <w:rPr>
          <w:b/>
          <w:i/>
          <w:sz w:val="28"/>
          <w:szCs w:val="28"/>
        </w:rPr>
        <w:t>Gedge v. Hearing Aid Practitioners Board</w:t>
      </w:r>
      <w:r w:rsidR="00536E27" w:rsidRPr="00536E27">
        <w:rPr>
          <w:i/>
          <w:sz w:val="28"/>
          <w:szCs w:val="28"/>
        </w:rPr>
        <w:t xml:space="preserve">, </w:t>
      </w:r>
      <w:r w:rsidR="00536E27" w:rsidRPr="00536E27">
        <w:rPr>
          <w:sz w:val="28"/>
          <w:szCs w:val="28"/>
        </w:rPr>
        <w:t>2011 NLCA 50</w:t>
      </w:r>
      <w:r w:rsidR="00536E27">
        <w:rPr>
          <w:sz w:val="28"/>
          <w:szCs w:val="28"/>
        </w:rPr>
        <w:t xml:space="preserve">, </w:t>
      </w:r>
      <w:bookmarkStart w:id="4" w:name="Citation"/>
      <w:bookmarkEnd w:id="4"/>
      <w:r>
        <w:rPr>
          <w:sz w:val="28"/>
          <w:szCs w:val="28"/>
          <w:lang w:val="en-CA"/>
        </w:rPr>
        <w:t xml:space="preserve">it was held that </w:t>
      </w:r>
      <w:r w:rsidRPr="00171E25">
        <w:rPr>
          <w:sz w:val="28"/>
          <w:szCs w:val="28"/>
          <w:lang w:val="en-CA"/>
        </w:rPr>
        <w:t>“</w:t>
      </w:r>
      <w:r w:rsidRPr="00171E25">
        <w:rPr>
          <w:sz w:val="28"/>
          <w:szCs w:val="28"/>
        </w:rPr>
        <w:t xml:space="preserve">a reasonable apprehension of bias must be raised at the first </w:t>
      </w:r>
      <w:r w:rsidR="00536E27">
        <w:rPr>
          <w:sz w:val="28"/>
          <w:szCs w:val="28"/>
        </w:rPr>
        <w:t>p</w:t>
      </w:r>
      <w:r w:rsidRPr="00171E25">
        <w:rPr>
          <w:sz w:val="28"/>
          <w:szCs w:val="28"/>
        </w:rPr>
        <w:t>ossible opportunity.</w:t>
      </w:r>
      <w:r w:rsidR="00536E27">
        <w:rPr>
          <w:sz w:val="28"/>
          <w:szCs w:val="28"/>
        </w:rPr>
        <w:t xml:space="preserve"> </w:t>
      </w:r>
      <w:r w:rsidR="00536E27" w:rsidRPr="00536E27">
        <w:rPr>
          <w:sz w:val="28"/>
          <w:szCs w:val="28"/>
        </w:rPr>
        <w:t>The basis for this rule is waiver: a party cannot ask for a remedy from a tribunal and afterwards claim reasonable apprehension of bias.</w:t>
      </w:r>
      <w:r w:rsidR="00536E27">
        <w:rPr>
          <w:sz w:val="28"/>
          <w:szCs w:val="28"/>
        </w:rPr>
        <w:t>”  However, the Court of Appeal also pointed out that “</w:t>
      </w:r>
      <w:r w:rsidR="00536E27" w:rsidRPr="00536E27">
        <w:rPr>
          <w:sz w:val="28"/>
          <w:szCs w:val="28"/>
        </w:rPr>
        <w:t>the waiver rule can only apply if the person alleging a reasonable apprehension of bias had a prior opportunity to raise the issue.  The apprehension must be raised at the first possible opportunity.</w:t>
      </w:r>
      <w:r w:rsidR="00536E27">
        <w:rPr>
          <w:sz w:val="28"/>
          <w:szCs w:val="28"/>
        </w:rPr>
        <w:t>”</w:t>
      </w:r>
      <w:r w:rsidR="00536E27" w:rsidRPr="00536E27">
        <w:rPr>
          <w:sz w:val="28"/>
          <w:szCs w:val="28"/>
        </w:rPr>
        <w:t xml:space="preserve">  </w:t>
      </w:r>
    </w:p>
    <w:p w:rsidR="004352B6" w:rsidRDefault="004352B6" w:rsidP="006C6D03">
      <w:pPr>
        <w:pStyle w:val="loose"/>
        <w:ind w:right="225"/>
        <w:jc w:val="center"/>
        <w:rPr>
          <w:b/>
          <w:sz w:val="28"/>
          <w:szCs w:val="28"/>
        </w:rPr>
      </w:pPr>
    </w:p>
    <w:p w:rsidR="00F32251" w:rsidRDefault="00F32251" w:rsidP="006C6D03">
      <w:pPr>
        <w:pStyle w:val="loose"/>
        <w:ind w:right="225"/>
        <w:jc w:val="center"/>
        <w:rPr>
          <w:b/>
          <w:sz w:val="28"/>
          <w:szCs w:val="28"/>
        </w:rPr>
      </w:pPr>
      <w:r>
        <w:rPr>
          <w:b/>
          <w:sz w:val="28"/>
          <w:szCs w:val="28"/>
        </w:rPr>
        <w:lastRenderedPageBreak/>
        <w:t>EXCESSIVE INTERVENTION</w:t>
      </w:r>
    </w:p>
    <w:p w:rsidR="004D35EB" w:rsidRDefault="004D35EB" w:rsidP="00161650">
      <w:pPr>
        <w:pStyle w:val="loose"/>
        <w:jc w:val="both"/>
        <w:rPr>
          <w:b/>
          <w:sz w:val="28"/>
          <w:szCs w:val="28"/>
        </w:rPr>
      </w:pPr>
    </w:p>
    <w:p w:rsidR="00F46C87" w:rsidRDefault="00E81731" w:rsidP="00161650">
      <w:pPr>
        <w:autoSpaceDE w:val="0"/>
        <w:autoSpaceDN w:val="0"/>
        <w:adjustRightInd w:val="0"/>
        <w:spacing w:line="480" w:lineRule="auto"/>
        <w:ind w:firstLine="720"/>
        <w:jc w:val="both"/>
        <w:rPr>
          <w:iCs/>
          <w:sz w:val="28"/>
          <w:szCs w:val="28"/>
        </w:rPr>
      </w:pPr>
      <w:r w:rsidRPr="00F46CCD">
        <w:rPr>
          <w:sz w:val="28"/>
          <w:szCs w:val="28"/>
        </w:rPr>
        <w:t>In the</w:t>
      </w:r>
      <w:r w:rsidRPr="00F46C87">
        <w:rPr>
          <w:i/>
          <w:sz w:val="28"/>
          <w:szCs w:val="28"/>
        </w:rPr>
        <w:t xml:space="preserve"> C.L.Q. </w:t>
      </w:r>
      <w:r w:rsidRPr="00F46CCD">
        <w:rPr>
          <w:sz w:val="28"/>
          <w:szCs w:val="28"/>
        </w:rPr>
        <w:t xml:space="preserve">paper, I noted that excessive judicial intervention in the trial process can raise a reasonable apprehension of bias.  </w:t>
      </w:r>
      <w:r w:rsidR="00F46CCD" w:rsidRPr="00F46CCD">
        <w:rPr>
          <w:sz w:val="28"/>
          <w:szCs w:val="28"/>
        </w:rPr>
        <w:t xml:space="preserve">However, not every intervention illustrates bias.  In </w:t>
      </w:r>
      <w:r w:rsidR="00F46CCD" w:rsidRPr="005F5760">
        <w:rPr>
          <w:b/>
          <w:i/>
          <w:sz w:val="28"/>
          <w:szCs w:val="28"/>
        </w:rPr>
        <w:t>R. v.</w:t>
      </w:r>
      <w:r w:rsidR="005F5760" w:rsidRPr="005F5760">
        <w:rPr>
          <w:b/>
          <w:i/>
          <w:sz w:val="28"/>
          <w:szCs w:val="28"/>
        </w:rPr>
        <w:t xml:space="preserve"> Johnson</w:t>
      </w:r>
      <w:r w:rsidR="00F46CCD" w:rsidRPr="00F46CCD">
        <w:rPr>
          <w:sz w:val="28"/>
          <w:szCs w:val="28"/>
        </w:rPr>
        <w:t>, 2010 ABCA</w:t>
      </w:r>
      <w:r w:rsidR="005F5760">
        <w:rPr>
          <w:sz w:val="28"/>
          <w:szCs w:val="28"/>
        </w:rPr>
        <w:t xml:space="preserve"> 392</w:t>
      </w:r>
      <w:r w:rsidR="00F46CCD" w:rsidRPr="00F46CCD">
        <w:rPr>
          <w:sz w:val="28"/>
          <w:szCs w:val="28"/>
        </w:rPr>
        <w:t xml:space="preserve">, </w:t>
      </w:r>
      <w:r w:rsidR="00F46C87">
        <w:rPr>
          <w:sz w:val="28"/>
          <w:szCs w:val="28"/>
        </w:rPr>
        <w:t xml:space="preserve">for instance, </w:t>
      </w:r>
      <w:r w:rsidR="00F46CCD" w:rsidRPr="00F46CCD">
        <w:rPr>
          <w:sz w:val="28"/>
          <w:szCs w:val="28"/>
        </w:rPr>
        <w:t xml:space="preserve">the Court of Appeal noted that </w:t>
      </w:r>
      <w:r w:rsidR="00F46CCD">
        <w:rPr>
          <w:sz w:val="28"/>
          <w:szCs w:val="28"/>
        </w:rPr>
        <w:t>t</w:t>
      </w:r>
      <w:r w:rsidR="00F46CCD" w:rsidRPr="00F46CCD">
        <w:rPr>
          <w:sz w:val="28"/>
          <w:szCs w:val="28"/>
        </w:rPr>
        <w:t xml:space="preserve">he </w:t>
      </w:r>
      <w:r w:rsidR="00F46CCD">
        <w:rPr>
          <w:sz w:val="28"/>
          <w:szCs w:val="28"/>
        </w:rPr>
        <w:t>“</w:t>
      </w:r>
      <w:r w:rsidR="00F46CCD" w:rsidRPr="00F46CCD">
        <w:rPr>
          <w:sz w:val="28"/>
          <w:szCs w:val="28"/>
        </w:rPr>
        <w:t>law is clear that</w:t>
      </w:r>
      <w:r w:rsidR="00F46CCD">
        <w:rPr>
          <w:sz w:val="28"/>
          <w:szCs w:val="28"/>
        </w:rPr>
        <w:t xml:space="preserve"> </w:t>
      </w:r>
      <w:r w:rsidR="00F46CCD" w:rsidRPr="00F46CCD">
        <w:rPr>
          <w:sz w:val="28"/>
          <w:szCs w:val="28"/>
        </w:rPr>
        <w:t>interlocutory observations or questions from a court are not judicial pronouncements. Judges</w:t>
      </w:r>
      <w:r w:rsidR="00F46CCD">
        <w:rPr>
          <w:sz w:val="28"/>
          <w:szCs w:val="28"/>
        </w:rPr>
        <w:t xml:space="preserve"> </w:t>
      </w:r>
      <w:r w:rsidR="00F46CCD" w:rsidRPr="00F46CCD">
        <w:rPr>
          <w:sz w:val="28"/>
          <w:szCs w:val="28"/>
        </w:rPr>
        <w:t>frequently ask questions in the course of submissions by counsel to elaborate on the arguments and</w:t>
      </w:r>
      <w:r w:rsidR="00021B5E">
        <w:rPr>
          <w:sz w:val="28"/>
          <w:szCs w:val="28"/>
        </w:rPr>
        <w:t xml:space="preserve"> </w:t>
      </w:r>
      <w:r w:rsidR="00F46CCD" w:rsidRPr="00F46CCD">
        <w:rPr>
          <w:sz w:val="28"/>
          <w:szCs w:val="28"/>
        </w:rPr>
        <w:t>identify possible sticking points and concerns. A sentencing judge is entitled to explore various</w:t>
      </w:r>
      <w:r w:rsidR="00F46CCD">
        <w:rPr>
          <w:sz w:val="28"/>
          <w:szCs w:val="28"/>
        </w:rPr>
        <w:t xml:space="preserve"> </w:t>
      </w:r>
      <w:r w:rsidR="00F46CCD" w:rsidRPr="00F46CCD">
        <w:rPr>
          <w:sz w:val="28"/>
          <w:szCs w:val="28"/>
        </w:rPr>
        <w:t xml:space="preserve">avenues of decision during counsel’s submissions. As </w:t>
      </w:r>
      <w:r w:rsidR="00F46CCD">
        <w:rPr>
          <w:sz w:val="28"/>
          <w:szCs w:val="28"/>
        </w:rPr>
        <w:t>s</w:t>
      </w:r>
      <w:r w:rsidR="00F46CCD" w:rsidRPr="00F46CCD">
        <w:rPr>
          <w:sz w:val="28"/>
          <w:szCs w:val="28"/>
        </w:rPr>
        <w:t xml:space="preserve">tated by this Court in </w:t>
      </w:r>
      <w:r w:rsidR="00F46CCD" w:rsidRPr="00F46CCD">
        <w:rPr>
          <w:b/>
          <w:bCs/>
          <w:i/>
          <w:iCs/>
          <w:sz w:val="28"/>
          <w:szCs w:val="28"/>
        </w:rPr>
        <w:t xml:space="preserve">R. v. Hodson </w:t>
      </w:r>
      <w:r w:rsidR="00F46CCD" w:rsidRPr="00F46CCD">
        <w:rPr>
          <w:sz w:val="28"/>
          <w:szCs w:val="28"/>
        </w:rPr>
        <w:t>2001</w:t>
      </w:r>
      <w:r w:rsidR="00F46CCD">
        <w:rPr>
          <w:sz w:val="28"/>
          <w:szCs w:val="28"/>
        </w:rPr>
        <w:t xml:space="preserve"> </w:t>
      </w:r>
      <w:r w:rsidR="00F46CCD" w:rsidRPr="00F46CCD">
        <w:rPr>
          <w:sz w:val="28"/>
          <w:szCs w:val="28"/>
        </w:rPr>
        <w:t>ABCA 111, 281 A.R. 76 at para. 35: “[A] judge’s willingness to openly debate counsel over relevant</w:t>
      </w:r>
      <w:r w:rsidR="00F46CCD">
        <w:rPr>
          <w:sz w:val="28"/>
          <w:szCs w:val="28"/>
        </w:rPr>
        <w:t xml:space="preserve"> </w:t>
      </w:r>
      <w:r w:rsidR="00F46CCD" w:rsidRPr="00F46CCD">
        <w:rPr>
          <w:sz w:val="28"/>
          <w:szCs w:val="28"/>
        </w:rPr>
        <w:t>factual or legal issues in the case should never, by itself, be allowed to corrode his verdict if that</w:t>
      </w:r>
      <w:r w:rsidR="00F46CCD">
        <w:rPr>
          <w:sz w:val="28"/>
          <w:szCs w:val="28"/>
        </w:rPr>
        <w:t xml:space="preserve"> </w:t>
      </w:r>
      <w:r w:rsidR="00F46CCD" w:rsidRPr="00F46CCD">
        <w:rPr>
          <w:sz w:val="28"/>
          <w:szCs w:val="28"/>
        </w:rPr>
        <w:t>verdict is sound in fact and law”</w:t>
      </w:r>
      <w:r w:rsidR="000F6800">
        <w:rPr>
          <w:sz w:val="28"/>
          <w:szCs w:val="28"/>
        </w:rPr>
        <w:t xml:space="preserve">  (also see</w:t>
      </w:r>
      <w:r w:rsidR="000F6800" w:rsidRPr="000F6800">
        <w:rPr>
          <w:b/>
          <w:i/>
          <w:sz w:val="28"/>
          <w:szCs w:val="28"/>
        </w:rPr>
        <w:t xml:space="preserve"> </w:t>
      </w:r>
      <w:r w:rsidR="000F6800" w:rsidRPr="000F6800">
        <w:rPr>
          <w:b/>
          <w:i/>
          <w:iCs/>
          <w:sz w:val="28"/>
          <w:szCs w:val="28"/>
        </w:rPr>
        <w:t>R. v. Snider</w:t>
      </w:r>
      <w:r w:rsidR="000F6800" w:rsidRPr="000F6800">
        <w:rPr>
          <w:iCs/>
          <w:sz w:val="28"/>
          <w:szCs w:val="28"/>
        </w:rPr>
        <w:t>, 2011 BCSC 645</w:t>
      </w:r>
      <w:r w:rsidR="006D3BE5">
        <w:rPr>
          <w:iCs/>
          <w:sz w:val="28"/>
          <w:szCs w:val="28"/>
        </w:rPr>
        <w:t>;</w:t>
      </w:r>
      <w:r w:rsidR="006E239B" w:rsidRPr="006E239B">
        <w:rPr>
          <w:i/>
          <w:iCs/>
          <w:sz w:val="28"/>
          <w:szCs w:val="28"/>
        </w:rPr>
        <w:t xml:space="preserve"> </w:t>
      </w:r>
      <w:r w:rsidR="006E239B" w:rsidRPr="006E239B">
        <w:rPr>
          <w:b/>
          <w:bCs/>
          <w:i/>
          <w:iCs/>
          <w:sz w:val="28"/>
          <w:szCs w:val="28"/>
          <w:lang w:val="en"/>
        </w:rPr>
        <w:t>R. v. Krasniqi</w:t>
      </w:r>
      <w:r w:rsidR="006E239B" w:rsidRPr="006E239B">
        <w:rPr>
          <w:bCs/>
          <w:iCs/>
          <w:sz w:val="28"/>
          <w:szCs w:val="28"/>
          <w:lang w:val="en"/>
        </w:rPr>
        <w:t>, 2011 ONSC 3646 (CanLII</w:t>
      </w:r>
      <w:r w:rsidR="006E239B" w:rsidRPr="006E239B">
        <w:rPr>
          <w:b/>
          <w:bCs/>
          <w:iCs/>
          <w:sz w:val="28"/>
          <w:szCs w:val="28"/>
          <w:lang w:val="en"/>
        </w:rPr>
        <w:t>)</w:t>
      </w:r>
      <w:r w:rsidR="006D3BE5" w:rsidRPr="006D3BE5">
        <w:rPr>
          <w:bCs/>
          <w:iCs/>
          <w:sz w:val="28"/>
          <w:szCs w:val="28"/>
          <w:lang w:val="en"/>
        </w:rPr>
        <w:t>;</w:t>
      </w:r>
      <w:r w:rsidR="006D3BE5">
        <w:rPr>
          <w:b/>
          <w:bCs/>
          <w:iCs/>
          <w:sz w:val="28"/>
          <w:szCs w:val="28"/>
          <w:lang w:val="en"/>
        </w:rPr>
        <w:t xml:space="preserve"> </w:t>
      </w:r>
      <w:r w:rsidR="006D3BE5">
        <w:rPr>
          <w:bCs/>
          <w:iCs/>
          <w:sz w:val="28"/>
          <w:szCs w:val="28"/>
          <w:lang w:val="en"/>
        </w:rPr>
        <w:t xml:space="preserve">and </w:t>
      </w:r>
      <w:r w:rsidR="006D3BE5" w:rsidRPr="006D3BE5">
        <w:rPr>
          <w:b/>
          <w:bCs/>
          <w:i/>
          <w:iCs/>
          <w:sz w:val="28"/>
          <w:szCs w:val="28"/>
          <w:lang w:val="en"/>
        </w:rPr>
        <w:t>R. v. Devereaux</w:t>
      </w:r>
      <w:r w:rsidR="006D3BE5">
        <w:rPr>
          <w:bCs/>
          <w:iCs/>
          <w:sz w:val="28"/>
          <w:szCs w:val="28"/>
          <w:lang w:val="en"/>
        </w:rPr>
        <w:t>, 2012 NLTD(G) 2</w:t>
      </w:r>
      <w:r w:rsidR="000F6800" w:rsidRPr="000F6800">
        <w:rPr>
          <w:iCs/>
          <w:sz w:val="28"/>
          <w:szCs w:val="28"/>
        </w:rPr>
        <w:t>).</w:t>
      </w:r>
      <w:r w:rsidR="004D35EB">
        <w:rPr>
          <w:iCs/>
          <w:sz w:val="28"/>
          <w:szCs w:val="28"/>
        </w:rPr>
        <w:t xml:space="preserve"> </w:t>
      </w:r>
    </w:p>
    <w:p w:rsidR="0081301A" w:rsidRDefault="0081301A" w:rsidP="0081301A">
      <w:pPr>
        <w:autoSpaceDE w:val="0"/>
        <w:autoSpaceDN w:val="0"/>
        <w:adjustRightInd w:val="0"/>
        <w:spacing w:line="480" w:lineRule="auto"/>
        <w:jc w:val="both"/>
        <w:rPr>
          <w:iCs/>
          <w:sz w:val="28"/>
          <w:szCs w:val="28"/>
        </w:rPr>
      </w:pPr>
      <w:r>
        <w:rPr>
          <w:iCs/>
          <w:sz w:val="28"/>
          <w:szCs w:val="28"/>
        </w:rPr>
        <w:tab/>
        <w:t xml:space="preserve">However, in </w:t>
      </w:r>
      <w:r w:rsidRPr="005E5FD4">
        <w:rPr>
          <w:b/>
          <w:i/>
          <w:iCs/>
          <w:sz w:val="28"/>
          <w:szCs w:val="28"/>
        </w:rPr>
        <w:t>R. v.</w:t>
      </w:r>
      <w:r w:rsidRPr="005E5FD4">
        <w:rPr>
          <w:i/>
          <w:iCs/>
          <w:sz w:val="28"/>
          <w:szCs w:val="28"/>
        </w:rPr>
        <w:t xml:space="preserve"> </w:t>
      </w:r>
      <w:r w:rsidR="005E5FD4" w:rsidRPr="005E5FD4">
        <w:rPr>
          <w:b/>
          <w:bCs/>
          <w:i/>
          <w:iCs/>
          <w:sz w:val="28"/>
          <w:szCs w:val="28"/>
        </w:rPr>
        <w:t>Oracz</w:t>
      </w:r>
      <w:r w:rsidR="005E5FD4">
        <w:rPr>
          <w:bCs/>
          <w:iCs/>
          <w:sz w:val="28"/>
          <w:szCs w:val="28"/>
        </w:rPr>
        <w:t xml:space="preserve">, </w:t>
      </w:r>
      <w:r>
        <w:rPr>
          <w:iCs/>
          <w:sz w:val="28"/>
          <w:szCs w:val="28"/>
        </w:rPr>
        <w:t xml:space="preserve">2011 ABCA </w:t>
      </w:r>
      <w:r w:rsidR="005E5FD4">
        <w:rPr>
          <w:iCs/>
          <w:sz w:val="28"/>
          <w:szCs w:val="28"/>
        </w:rPr>
        <w:t>341</w:t>
      </w:r>
      <w:r>
        <w:rPr>
          <w:iCs/>
          <w:sz w:val="28"/>
          <w:szCs w:val="28"/>
        </w:rPr>
        <w:t>, the Court of Appeal indicated that a “</w:t>
      </w:r>
      <w:r w:rsidRPr="0081301A">
        <w:rPr>
          <w:rFonts w:ascii="TimesNewRoman" w:hAnsi="TimesNewRoman" w:cs="TimesNewRoman"/>
          <w:sz w:val="28"/>
          <w:szCs w:val="28"/>
        </w:rPr>
        <w:t>cautionary note</w:t>
      </w:r>
      <w:r>
        <w:rPr>
          <w:rFonts w:ascii="TimesNewRoman" w:hAnsi="TimesNewRoman" w:cs="TimesNewRoman"/>
          <w:sz w:val="28"/>
          <w:szCs w:val="28"/>
        </w:rPr>
        <w:t>” was</w:t>
      </w:r>
      <w:r w:rsidRPr="0081301A">
        <w:rPr>
          <w:rFonts w:ascii="TimesNewRoman" w:hAnsi="TimesNewRoman" w:cs="TimesNewRoman"/>
          <w:sz w:val="28"/>
          <w:szCs w:val="28"/>
        </w:rPr>
        <w:t xml:space="preserve"> in order</w:t>
      </w:r>
      <w:r>
        <w:rPr>
          <w:rFonts w:ascii="TimesNewRoman" w:hAnsi="TimesNewRoman" w:cs="TimesNewRoman"/>
          <w:sz w:val="28"/>
          <w:szCs w:val="28"/>
        </w:rPr>
        <w:t xml:space="preserve"> as regards judicial intervention in the trial process</w:t>
      </w:r>
      <w:r>
        <w:rPr>
          <w:iCs/>
          <w:sz w:val="28"/>
          <w:szCs w:val="28"/>
        </w:rPr>
        <w:t>:</w:t>
      </w:r>
    </w:p>
    <w:p w:rsidR="0081301A" w:rsidRDefault="0081301A" w:rsidP="0081301A">
      <w:pPr>
        <w:autoSpaceDE w:val="0"/>
        <w:autoSpaceDN w:val="0"/>
        <w:adjustRightInd w:val="0"/>
        <w:ind w:left="720"/>
        <w:jc w:val="both"/>
        <w:rPr>
          <w:rFonts w:ascii="TimesNewRoman" w:hAnsi="TimesNewRoman" w:cs="TimesNewRoman"/>
          <w:sz w:val="28"/>
          <w:szCs w:val="28"/>
        </w:rPr>
      </w:pPr>
      <w:r w:rsidRPr="0081301A">
        <w:rPr>
          <w:rFonts w:ascii="TimesNewRoman" w:hAnsi="TimesNewRoman" w:cs="TimesNewRoman"/>
          <w:sz w:val="28"/>
          <w:szCs w:val="28"/>
        </w:rPr>
        <w:lastRenderedPageBreak/>
        <w:t>A cautionary note is in order. It is essential that trial judges not descend into the arena. It is</w:t>
      </w:r>
      <w:r>
        <w:rPr>
          <w:rFonts w:ascii="TimesNewRoman" w:hAnsi="TimesNewRoman" w:cs="TimesNewRoman"/>
          <w:sz w:val="28"/>
          <w:szCs w:val="28"/>
        </w:rPr>
        <w:t xml:space="preserve"> </w:t>
      </w:r>
      <w:r w:rsidRPr="0081301A">
        <w:rPr>
          <w:rFonts w:ascii="TimesNewRoman" w:hAnsi="TimesNewRoman" w:cs="TimesNewRoman"/>
          <w:sz w:val="28"/>
          <w:szCs w:val="28"/>
        </w:rPr>
        <w:t>always preferable for the trier of fact and the adjudicator of law to leave to the parties or their</w:t>
      </w:r>
      <w:r>
        <w:rPr>
          <w:rFonts w:ascii="TimesNewRoman" w:hAnsi="TimesNewRoman" w:cs="TimesNewRoman"/>
          <w:sz w:val="28"/>
          <w:szCs w:val="28"/>
        </w:rPr>
        <w:t xml:space="preserve"> </w:t>
      </w:r>
      <w:r w:rsidRPr="0081301A">
        <w:rPr>
          <w:rFonts w:ascii="TimesNewRoman" w:hAnsi="TimesNewRoman" w:cs="TimesNewRoman"/>
          <w:sz w:val="28"/>
          <w:szCs w:val="28"/>
        </w:rPr>
        <w:t>counsel the initiative to advance legal and factual arguments. Our system of criminal justice is</w:t>
      </w:r>
      <w:r>
        <w:rPr>
          <w:rFonts w:ascii="TimesNewRoman" w:hAnsi="TimesNewRoman" w:cs="TimesNewRoman"/>
          <w:sz w:val="28"/>
          <w:szCs w:val="28"/>
        </w:rPr>
        <w:t xml:space="preserve"> </w:t>
      </w:r>
      <w:r w:rsidRPr="0081301A">
        <w:rPr>
          <w:rFonts w:ascii="TimesNewRoman" w:hAnsi="TimesNewRoman" w:cs="TimesNewRoman"/>
          <w:sz w:val="28"/>
          <w:szCs w:val="28"/>
        </w:rPr>
        <w:t>premised on an adversarial model. Judicial inquests are not part of the process. While judges, in</w:t>
      </w:r>
      <w:r>
        <w:rPr>
          <w:rFonts w:ascii="TimesNewRoman" w:hAnsi="TimesNewRoman" w:cs="TimesNewRoman"/>
          <w:sz w:val="28"/>
          <w:szCs w:val="28"/>
        </w:rPr>
        <w:t xml:space="preserve"> </w:t>
      </w:r>
      <w:r w:rsidRPr="0081301A">
        <w:rPr>
          <w:rFonts w:ascii="TimesNewRoman" w:hAnsi="TimesNewRoman" w:cs="TimesNewRoman"/>
          <w:sz w:val="28"/>
          <w:szCs w:val="28"/>
        </w:rPr>
        <w:t>keeping with their sworn duties, may seek clarification of points in issue, the extent to which a judge</w:t>
      </w:r>
      <w:r>
        <w:rPr>
          <w:rFonts w:ascii="TimesNewRoman" w:hAnsi="TimesNewRoman" w:cs="TimesNewRoman"/>
          <w:sz w:val="28"/>
          <w:szCs w:val="28"/>
        </w:rPr>
        <w:t xml:space="preserve"> </w:t>
      </w:r>
      <w:r w:rsidRPr="0081301A">
        <w:rPr>
          <w:rFonts w:ascii="TimesNewRoman" w:hAnsi="TimesNewRoman" w:cs="TimesNewRoman"/>
          <w:sz w:val="28"/>
          <w:szCs w:val="28"/>
        </w:rPr>
        <w:t>may properly go beyond that is circumscribed. The judge must not enter the fray. That which</w:t>
      </w:r>
      <w:r>
        <w:rPr>
          <w:rFonts w:ascii="TimesNewRoman" w:hAnsi="TimesNewRoman" w:cs="TimesNewRoman"/>
          <w:sz w:val="28"/>
          <w:szCs w:val="28"/>
        </w:rPr>
        <w:t xml:space="preserve"> </w:t>
      </w:r>
      <w:r w:rsidRPr="0081301A">
        <w:rPr>
          <w:rFonts w:ascii="TimesNewRoman" w:hAnsi="TimesNewRoman" w:cs="TimesNewRoman"/>
          <w:sz w:val="28"/>
          <w:szCs w:val="28"/>
        </w:rPr>
        <w:t>governs is the necessity of ensuring a fair trial and one that is perceived by all concerned to have</w:t>
      </w:r>
      <w:r>
        <w:rPr>
          <w:rFonts w:ascii="TimesNewRoman" w:hAnsi="TimesNewRoman" w:cs="TimesNewRoman"/>
          <w:sz w:val="28"/>
          <w:szCs w:val="28"/>
        </w:rPr>
        <w:t xml:space="preserve"> </w:t>
      </w:r>
      <w:r w:rsidRPr="0081301A">
        <w:rPr>
          <w:rFonts w:ascii="TimesNewRoman" w:hAnsi="TimesNewRoman" w:cs="TimesNewRoman"/>
          <w:sz w:val="28"/>
          <w:szCs w:val="28"/>
        </w:rPr>
        <w:t>been conducted fairly and impartially.</w:t>
      </w:r>
    </w:p>
    <w:p w:rsidR="007949F5" w:rsidRDefault="007949F5" w:rsidP="007949F5">
      <w:pPr>
        <w:autoSpaceDE w:val="0"/>
        <w:autoSpaceDN w:val="0"/>
        <w:adjustRightInd w:val="0"/>
        <w:jc w:val="both"/>
        <w:rPr>
          <w:iCs/>
          <w:sz w:val="28"/>
          <w:szCs w:val="28"/>
        </w:rPr>
      </w:pPr>
    </w:p>
    <w:p w:rsidR="00F46CCD" w:rsidRPr="000F6800" w:rsidRDefault="004D35EB" w:rsidP="00161650">
      <w:pPr>
        <w:autoSpaceDE w:val="0"/>
        <w:autoSpaceDN w:val="0"/>
        <w:adjustRightInd w:val="0"/>
        <w:spacing w:line="480" w:lineRule="auto"/>
        <w:ind w:firstLine="720"/>
        <w:jc w:val="both"/>
        <w:rPr>
          <w:sz w:val="28"/>
          <w:szCs w:val="28"/>
        </w:rPr>
      </w:pPr>
      <w:r>
        <w:rPr>
          <w:color w:val="000000"/>
          <w:sz w:val="28"/>
          <w:szCs w:val="28"/>
        </w:rPr>
        <w:t xml:space="preserve">In </w:t>
      </w:r>
      <w:r w:rsidRPr="00C33CE8">
        <w:rPr>
          <w:b/>
          <w:bCs/>
          <w:i/>
          <w:color w:val="000000"/>
          <w:sz w:val="28"/>
          <w:szCs w:val="28"/>
        </w:rPr>
        <w:t>R. v. Baccari</w:t>
      </w:r>
      <w:r w:rsidRPr="00C33CE8">
        <w:rPr>
          <w:bCs/>
          <w:color w:val="000000"/>
          <w:sz w:val="28"/>
          <w:szCs w:val="28"/>
        </w:rPr>
        <w:t>, 2011 ABCA 205</w:t>
      </w:r>
      <w:r>
        <w:rPr>
          <w:bCs/>
          <w:color w:val="000000"/>
          <w:sz w:val="28"/>
          <w:szCs w:val="28"/>
        </w:rPr>
        <w:t>, it was noted that d</w:t>
      </w:r>
      <w:r w:rsidRPr="00C33CE8">
        <w:rPr>
          <w:color w:val="000000"/>
          <w:sz w:val="28"/>
          <w:szCs w:val="28"/>
        </w:rPr>
        <w:t>uring argument</w:t>
      </w:r>
      <w:r w:rsidR="008C7230" w:rsidRPr="00C33CE8">
        <w:rPr>
          <w:color w:val="000000"/>
          <w:sz w:val="28"/>
          <w:szCs w:val="28"/>
        </w:rPr>
        <w:t xml:space="preserve">, </w:t>
      </w:r>
      <w:r w:rsidR="008C7230">
        <w:rPr>
          <w:color w:val="000000"/>
          <w:sz w:val="28"/>
          <w:szCs w:val="28"/>
        </w:rPr>
        <w:t>that</w:t>
      </w:r>
      <w:r w:rsidR="00F46C87">
        <w:rPr>
          <w:color w:val="000000"/>
          <w:sz w:val="28"/>
          <w:szCs w:val="28"/>
        </w:rPr>
        <w:t xml:space="preserve"> </w:t>
      </w:r>
      <w:r>
        <w:rPr>
          <w:color w:val="000000"/>
          <w:sz w:val="28"/>
          <w:szCs w:val="28"/>
        </w:rPr>
        <w:t>“</w:t>
      </w:r>
      <w:r w:rsidRPr="00C33CE8">
        <w:rPr>
          <w:color w:val="000000"/>
          <w:sz w:val="28"/>
          <w:szCs w:val="28"/>
        </w:rPr>
        <w:t>trial judges are not precluded from commenting on evidence or attempting</w:t>
      </w:r>
      <w:r>
        <w:rPr>
          <w:color w:val="000000"/>
          <w:sz w:val="28"/>
          <w:szCs w:val="28"/>
        </w:rPr>
        <w:t xml:space="preserve"> </w:t>
      </w:r>
      <w:r w:rsidRPr="00C33CE8">
        <w:rPr>
          <w:color w:val="000000"/>
          <w:sz w:val="28"/>
          <w:szCs w:val="28"/>
        </w:rPr>
        <w:t>to focus the argument on issues of particular concern to the trial judge. Give and take between a trial</w:t>
      </w:r>
      <w:r>
        <w:rPr>
          <w:color w:val="000000"/>
          <w:sz w:val="28"/>
          <w:szCs w:val="28"/>
        </w:rPr>
        <w:t xml:space="preserve"> </w:t>
      </w:r>
      <w:r w:rsidRPr="00C33CE8">
        <w:rPr>
          <w:color w:val="000000"/>
          <w:sz w:val="28"/>
          <w:szCs w:val="28"/>
        </w:rPr>
        <w:t>judge and counsel may be robust but observations made by a trial judge during argument are not</w:t>
      </w:r>
      <w:r>
        <w:rPr>
          <w:color w:val="000000"/>
          <w:sz w:val="28"/>
          <w:szCs w:val="28"/>
        </w:rPr>
        <w:t xml:space="preserve"> p</w:t>
      </w:r>
      <w:r w:rsidRPr="00C33CE8">
        <w:rPr>
          <w:color w:val="000000"/>
          <w:sz w:val="28"/>
          <w:szCs w:val="28"/>
        </w:rPr>
        <w:t>ronouncements</w:t>
      </w:r>
      <w:r>
        <w:rPr>
          <w:color w:val="000000"/>
          <w:sz w:val="28"/>
          <w:szCs w:val="28"/>
        </w:rPr>
        <w:t>...</w:t>
      </w:r>
      <w:r w:rsidRPr="00C33CE8">
        <w:rPr>
          <w:color w:val="000000"/>
          <w:sz w:val="28"/>
          <w:szCs w:val="28"/>
        </w:rPr>
        <w:t>A trial judge is</w:t>
      </w:r>
      <w:r>
        <w:rPr>
          <w:color w:val="000000"/>
          <w:sz w:val="28"/>
          <w:szCs w:val="28"/>
        </w:rPr>
        <w:t xml:space="preserve"> </w:t>
      </w:r>
      <w:r w:rsidRPr="00C33CE8">
        <w:rPr>
          <w:color w:val="000000"/>
          <w:sz w:val="28"/>
          <w:szCs w:val="28"/>
        </w:rPr>
        <w:t xml:space="preserve">not precluded from voicing concerns about the evidence. </w:t>
      </w:r>
      <w:proofErr w:type="gramStart"/>
      <w:r w:rsidRPr="00C33CE8">
        <w:rPr>
          <w:color w:val="000000"/>
          <w:sz w:val="28"/>
          <w:szCs w:val="28"/>
        </w:rPr>
        <w:t>Nor is a trial judge precluded from</w:t>
      </w:r>
      <w:r>
        <w:rPr>
          <w:color w:val="000000"/>
          <w:sz w:val="28"/>
          <w:szCs w:val="28"/>
        </w:rPr>
        <w:t xml:space="preserve"> </w:t>
      </w:r>
      <w:r w:rsidRPr="00C33CE8">
        <w:rPr>
          <w:color w:val="000000"/>
          <w:sz w:val="28"/>
          <w:szCs w:val="28"/>
        </w:rPr>
        <w:t>directing counsel’s attention to the real issues in the case.</w:t>
      </w:r>
      <w:proofErr w:type="gramEnd"/>
      <w:r w:rsidRPr="00C33CE8">
        <w:rPr>
          <w:color w:val="000000"/>
          <w:sz w:val="28"/>
          <w:szCs w:val="28"/>
        </w:rPr>
        <w:t xml:space="preserve"> Trial judges are not expected to be mute</w:t>
      </w:r>
      <w:r>
        <w:rPr>
          <w:color w:val="000000"/>
          <w:sz w:val="28"/>
          <w:szCs w:val="28"/>
        </w:rPr>
        <w:t xml:space="preserve"> </w:t>
      </w:r>
      <w:r w:rsidRPr="00C33CE8">
        <w:rPr>
          <w:color w:val="000000"/>
          <w:sz w:val="28"/>
          <w:szCs w:val="28"/>
        </w:rPr>
        <w:t>manikins</w:t>
      </w:r>
      <w:r>
        <w:rPr>
          <w:color w:val="000000"/>
          <w:sz w:val="28"/>
          <w:szCs w:val="28"/>
        </w:rPr>
        <w:t>.”</w:t>
      </w:r>
    </w:p>
    <w:p w:rsidR="00F1604C" w:rsidRDefault="00F46C87" w:rsidP="00161650">
      <w:pPr>
        <w:spacing w:line="480" w:lineRule="auto"/>
        <w:ind w:firstLine="720"/>
        <w:jc w:val="both"/>
        <w:rPr>
          <w:sz w:val="28"/>
          <w:szCs w:val="28"/>
        </w:rPr>
      </w:pPr>
      <w:r>
        <w:rPr>
          <w:sz w:val="28"/>
          <w:szCs w:val="28"/>
        </w:rPr>
        <w:t xml:space="preserve">The degree to which a trial judge can intervene was considered by </w:t>
      </w:r>
      <w:r w:rsidR="00E81731">
        <w:rPr>
          <w:sz w:val="28"/>
          <w:szCs w:val="28"/>
        </w:rPr>
        <w:t xml:space="preserve">the </w:t>
      </w:r>
      <w:r w:rsidR="00812B57">
        <w:rPr>
          <w:sz w:val="28"/>
          <w:szCs w:val="28"/>
        </w:rPr>
        <w:t>P</w:t>
      </w:r>
      <w:r w:rsidR="00E81731">
        <w:rPr>
          <w:sz w:val="28"/>
          <w:szCs w:val="28"/>
        </w:rPr>
        <w:t>rivy Council</w:t>
      </w:r>
      <w:r>
        <w:rPr>
          <w:sz w:val="28"/>
          <w:szCs w:val="28"/>
        </w:rPr>
        <w:t xml:space="preserve"> </w:t>
      </w:r>
      <w:r w:rsidR="00E81731">
        <w:rPr>
          <w:sz w:val="28"/>
          <w:szCs w:val="28"/>
        </w:rPr>
        <w:t xml:space="preserve">in </w:t>
      </w:r>
      <w:r w:rsidR="00F32251" w:rsidRPr="00E81731">
        <w:rPr>
          <w:b/>
          <w:i/>
          <w:sz w:val="28"/>
          <w:szCs w:val="28"/>
        </w:rPr>
        <w:t>Michel v. The</w:t>
      </w:r>
      <w:r w:rsidR="00206AE5">
        <w:rPr>
          <w:b/>
          <w:i/>
          <w:sz w:val="28"/>
          <w:szCs w:val="28"/>
        </w:rPr>
        <w:t xml:space="preserve"> </w:t>
      </w:r>
      <w:r w:rsidR="00F32251" w:rsidRPr="00E81731">
        <w:rPr>
          <w:b/>
          <w:i/>
          <w:sz w:val="28"/>
          <w:szCs w:val="28"/>
        </w:rPr>
        <w:t xml:space="preserve">Queen (The Court of Appeal of </w:t>
      </w:r>
      <w:smartTag w:uri="urn:schemas-microsoft-com:office:smarttags" w:element="place">
        <w:r w:rsidR="00F32251" w:rsidRPr="00E81731">
          <w:rPr>
            <w:b/>
            <w:i/>
            <w:sz w:val="28"/>
            <w:szCs w:val="28"/>
          </w:rPr>
          <w:t>Jersey</w:t>
        </w:r>
      </w:smartTag>
      <w:r w:rsidR="00F32251" w:rsidRPr="00E81731">
        <w:rPr>
          <w:b/>
          <w:i/>
          <w:sz w:val="28"/>
          <w:szCs w:val="28"/>
        </w:rPr>
        <w:t>)</w:t>
      </w:r>
      <w:r w:rsidR="00206AE5" w:rsidRPr="00206AE5">
        <w:rPr>
          <w:sz w:val="28"/>
          <w:szCs w:val="28"/>
        </w:rPr>
        <w:t>,</w:t>
      </w:r>
      <w:r w:rsidR="00F32251" w:rsidRPr="00F32251">
        <w:rPr>
          <w:sz w:val="28"/>
          <w:szCs w:val="28"/>
        </w:rPr>
        <w:t xml:space="preserve"> [2009] UKPC 41</w:t>
      </w:r>
      <w:r w:rsidR="004F5C53">
        <w:rPr>
          <w:sz w:val="28"/>
          <w:szCs w:val="28"/>
        </w:rPr>
        <w:t xml:space="preserve"> (also see</w:t>
      </w:r>
      <w:r w:rsidR="00FC43F2">
        <w:rPr>
          <w:sz w:val="28"/>
          <w:szCs w:val="28"/>
        </w:rPr>
        <w:t xml:space="preserve"> </w:t>
      </w:r>
      <w:r w:rsidR="00FC43F2">
        <w:rPr>
          <w:b/>
          <w:i/>
          <w:sz w:val="28"/>
          <w:szCs w:val="28"/>
        </w:rPr>
        <w:t>R</w:t>
      </w:r>
      <w:r w:rsidR="004F5C53" w:rsidRPr="00E0467A">
        <w:rPr>
          <w:b/>
          <w:i/>
          <w:sz w:val="28"/>
          <w:szCs w:val="28"/>
          <w:lang w:val="en"/>
        </w:rPr>
        <w:t>. v. Czerniak</w:t>
      </w:r>
      <w:r w:rsidR="004F5C53" w:rsidRPr="004F5C53">
        <w:rPr>
          <w:sz w:val="28"/>
          <w:szCs w:val="28"/>
          <w:lang w:val="en"/>
        </w:rPr>
        <w:t>, 2010 ONSC 5067 (CanLII)</w:t>
      </w:r>
      <w:r w:rsidR="004F5C53">
        <w:rPr>
          <w:sz w:val="28"/>
          <w:szCs w:val="28"/>
          <w:lang w:val="en"/>
        </w:rPr>
        <w:t>)</w:t>
      </w:r>
      <w:r w:rsidR="00812B57">
        <w:rPr>
          <w:sz w:val="28"/>
          <w:szCs w:val="28"/>
        </w:rPr>
        <w:t>.</w:t>
      </w:r>
      <w:r w:rsidR="00935CDC">
        <w:rPr>
          <w:sz w:val="28"/>
          <w:szCs w:val="28"/>
        </w:rPr>
        <w:t xml:space="preserve">  In </w:t>
      </w:r>
      <w:r w:rsidR="00935CDC" w:rsidRPr="00206AE5">
        <w:rPr>
          <w:b/>
          <w:i/>
          <w:sz w:val="28"/>
          <w:szCs w:val="28"/>
        </w:rPr>
        <w:t>Michel</w:t>
      </w:r>
      <w:r w:rsidR="00935CDC">
        <w:rPr>
          <w:sz w:val="28"/>
          <w:szCs w:val="28"/>
        </w:rPr>
        <w:t>, the accused was convicted of “money laundering</w:t>
      </w:r>
      <w:r w:rsidR="00FA4FD9">
        <w:rPr>
          <w:sz w:val="28"/>
          <w:szCs w:val="28"/>
        </w:rPr>
        <w:t>”</w:t>
      </w:r>
      <w:r w:rsidR="00935CDC">
        <w:rPr>
          <w:sz w:val="28"/>
          <w:szCs w:val="28"/>
        </w:rPr>
        <w:t xml:space="preserve">, contrary to </w:t>
      </w:r>
      <w:bookmarkStart w:id="5" w:name="para2"/>
      <w:r w:rsidR="00935CDC">
        <w:rPr>
          <w:sz w:val="28"/>
          <w:szCs w:val="28"/>
        </w:rPr>
        <w:t xml:space="preserve">the </w:t>
      </w:r>
      <w:r w:rsidR="00935CDC" w:rsidRPr="00935CDC">
        <w:rPr>
          <w:i/>
          <w:sz w:val="28"/>
          <w:szCs w:val="28"/>
          <w:lang w:val="en-GB"/>
        </w:rPr>
        <w:t>Proceeds of Crime (</w:t>
      </w:r>
      <w:smartTag w:uri="urn:schemas-microsoft-com:office:smarttags" w:element="place">
        <w:r w:rsidR="00935CDC" w:rsidRPr="00935CDC">
          <w:rPr>
            <w:i/>
            <w:sz w:val="28"/>
            <w:szCs w:val="28"/>
            <w:lang w:val="en-GB"/>
          </w:rPr>
          <w:t>Jersey</w:t>
        </w:r>
      </w:smartTag>
      <w:r w:rsidR="00935CDC" w:rsidRPr="00935CDC">
        <w:rPr>
          <w:i/>
          <w:sz w:val="28"/>
          <w:szCs w:val="28"/>
          <w:lang w:val="en-GB"/>
        </w:rPr>
        <w:t>) Law 1999</w:t>
      </w:r>
      <w:bookmarkEnd w:id="5"/>
      <w:r w:rsidR="00935CDC" w:rsidRPr="00935CDC">
        <w:rPr>
          <w:sz w:val="28"/>
          <w:szCs w:val="28"/>
        </w:rPr>
        <w:t>.</w:t>
      </w:r>
      <w:r w:rsidR="00935CDC">
        <w:rPr>
          <w:sz w:val="28"/>
          <w:szCs w:val="28"/>
        </w:rPr>
        <w:t xml:space="preserve">  On appeal, </w:t>
      </w:r>
      <w:r w:rsidR="00411080">
        <w:rPr>
          <w:sz w:val="28"/>
          <w:szCs w:val="28"/>
        </w:rPr>
        <w:t>t</w:t>
      </w:r>
      <w:r w:rsidR="00935CDC">
        <w:rPr>
          <w:sz w:val="28"/>
          <w:szCs w:val="28"/>
        </w:rPr>
        <w:t xml:space="preserve">he </w:t>
      </w:r>
      <w:r w:rsidR="00411080">
        <w:rPr>
          <w:sz w:val="28"/>
          <w:szCs w:val="28"/>
        </w:rPr>
        <w:t xml:space="preserve">accused </w:t>
      </w:r>
      <w:r w:rsidR="00935CDC">
        <w:rPr>
          <w:sz w:val="28"/>
          <w:szCs w:val="28"/>
        </w:rPr>
        <w:t xml:space="preserve">argued that </w:t>
      </w:r>
      <w:r w:rsidR="00F1604C">
        <w:rPr>
          <w:sz w:val="28"/>
          <w:szCs w:val="28"/>
        </w:rPr>
        <w:lastRenderedPageBreak/>
        <w:t>the trial judge’s (</w:t>
      </w:r>
      <w:r w:rsidR="00411080">
        <w:rPr>
          <w:sz w:val="28"/>
          <w:szCs w:val="28"/>
        </w:rPr>
        <w:t xml:space="preserve">the </w:t>
      </w:r>
      <w:r w:rsidR="00F1604C">
        <w:rPr>
          <w:sz w:val="28"/>
          <w:szCs w:val="28"/>
        </w:rPr>
        <w:t xml:space="preserve">Commissioner) excessive interventions during the trial raised a reasonable apprehension of bias.  Lord Brown, at paragraph 12, summarized the nature of the interventions </w:t>
      </w:r>
      <w:r w:rsidR="00411080">
        <w:rPr>
          <w:sz w:val="28"/>
          <w:szCs w:val="28"/>
        </w:rPr>
        <w:t xml:space="preserve">which had occurred, </w:t>
      </w:r>
      <w:r w:rsidR="00F1604C">
        <w:rPr>
          <w:sz w:val="28"/>
          <w:szCs w:val="28"/>
        </w:rPr>
        <w:t>in the following manner:</w:t>
      </w:r>
    </w:p>
    <w:p w:rsidR="00F32251" w:rsidRDefault="00F1604C" w:rsidP="00161650">
      <w:pPr>
        <w:ind w:left="720"/>
        <w:jc w:val="both"/>
        <w:rPr>
          <w:sz w:val="28"/>
          <w:szCs w:val="28"/>
        </w:rPr>
      </w:pPr>
      <w:bookmarkStart w:id="6" w:name="para12"/>
      <w:r>
        <w:rPr>
          <w:sz w:val="28"/>
          <w:szCs w:val="28"/>
          <w:lang w:val="en-GB"/>
        </w:rPr>
        <w:t>...</w:t>
      </w:r>
      <w:r w:rsidRPr="00F1604C">
        <w:rPr>
          <w:sz w:val="28"/>
          <w:szCs w:val="28"/>
          <w:lang w:val="en-GB"/>
        </w:rPr>
        <w:t>the central ground of appeal as to the fairness of the trial, focused</w:t>
      </w:r>
      <w:r w:rsidR="0073215D">
        <w:rPr>
          <w:sz w:val="28"/>
          <w:szCs w:val="28"/>
          <w:lang w:val="en-GB"/>
        </w:rPr>
        <w:t>...</w:t>
      </w:r>
      <w:r w:rsidRPr="00F1604C">
        <w:rPr>
          <w:sz w:val="28"/>
          <w:szCs w:val="28"/>
          <w:lang w:val="en-GB"/>
        </w:rPr>
        <w:t>entirely on the Commissioner</w:t>
      </w:r>
      <w:smartTag w:uri="urn:schemas-microsoft-com:office:smarttags" w:element="PersonName">
        <w:r w:rsidRPr="00F1604C">
          <w:rPr>
            <w:sz w:val="28"/>
            <w:szCs w:val="28"/>
            <w:lang w:val="en-GB"/>
          </w:rPr>
          <w:t>'</w:t>
        </w:r>
      </w:smartTag>
      <w:r w:rsidRPr="00F1604C">
        <w:rPr>
          <w:sz w:val="28"/>
          <w:szCs w:val="28"/>
          <w:lang w:val="en-GB"/>
        </w:rPr>
        <w:t>s conduct of the hearing: his continual interruptions of the evidence, of prosecution witnesses as well as the appellant himself, of evidence in chief as well as cross examination. During the Crown</w:t>
      </w:r>
      <w:smartTag w:uri="urn:schemas-microsoft-com:office:smarttags" w:element="PersonName">
        <w:r w:rsidRPr="00F1604C">
          <w:rPr>
            <w:sz w:val="28"/>
            <w:szCs w:val="28"/>
            <w:lang w:val="en-GB"/>
          </w:rPr>
          <w:t>'</w:t>
        </w:r>
      </w:smartTag>
      <w:r w:rsidRPr="00F1604C">
        <w:rPr>
          <w:sz w:val="28"/>
          <w:szCs w:val="28"/>
          <w:lang w:val="en-GB"/>
        </w:rPr>
        <w:t>s case the Commissioner time and again asked questions damaging to the defence case which prosecuting counsel could never have asked—for example cross-examining the appellant</w:t>
      </w:r>
      <w:smartTag w:uri="urn:schemas-microsoft-com:office:smarttags" w:element="PersonName">
        <w:r w:rsidRPr="00F1604C">
          <w:rPr>
            <w:sz w:val="28"/>
            <w:szCs w:val="28"/>
            <w:lang w:val="en-GB"/>
          </w:rPr>
          <w:t>'</w:t>
        </w:r>
      </w:smartTag>
      <w:r w:rsidRPr="00F1604C">
        <w:rPr>
          <w:sz w:val="28"/>
          <w:szCs w:val="28"/>
          <w:lang w:val="en-GB"/>
        </w:rPr>
        <w:t>s clients to suggest both that they had behaved criminally and that this must have been obvious. During the appellant</w:t>
      </w:r>
      <w:smartTag w:uri="urn:schemas-microsoft-com:office:smarttags" w:element="PersonName">
        <w:r w:rsidRPr="00F1604C">
          <w:rPr>
            <w:sz w:val="28"/>
            <w:szCs w:val="28"/>
            <w:lang w:val="en-GB"/>
          </w:rPr>
          <w:t>'</w:t>
        </w:r>
      </w:smartTag>
      <w:r w:rsidRPr="00F1604C">
        <w:rPr>
          <w:sz w:val="28"/>
          <w:szCs w:val="28"/>
          <w:lang w:val="en-GB"/>
        </w:rPr>
        <w:t>s own evidence the Commissioner intervened with substantive questions on no fewer than 273 occasions, 138 of them during evidence in chief. Generally this was with a whole series of questions, taking up in all just over 18% of the appellant</w:t>
      </w:r>
      <w:smartTag w:uri="urn:schemas-microsoft-com:office:smarttags" w:element="PersonName">
        <w:r w:rsidRPr="00F1604C">
          <w:rPr>
            <w:sz w:val="28"/>
            <w:szCs w:val="28"/>
            <w:lang w:val="en-GB"/>
          </w:rPr>
          <w:t>'</w:t>
        </w:r>
      </w:smartTag>
      <w:r w:rsidRPr="00F1604C">
        <w:rPr>
          <w:sz w:val="28"/>
          <w:szCs w:val="28"/>
          <w:lang w:val="en-GB"/>
        </w:rPr>
        <w:t xml:space="preserve">s eight and a half days in the witness box. </w:t>
      </w:r>
      <w:proofErr w:type="gramStart"/>
      <w:r w:rsidRPr="00F1604C">
        <w:rPr>
          <w:sz w:val="28"/>
          <w:szCs w:val="28"/>
          <w:lang w:val="en-GB"/>
        </w:rPr>
        <w:t>So much for the bare statistics.</w:t>
      </w:r>
      <w:proofErr w:type="gramEnd"/>
      <w:r w:rsidRPr="00F1604C">
        <w:rPr>
          <w:sz w:val="28"/>
          <w:szCs w:val="28"/>
          <w:lang w:val="en-GB"/>
        </w:rPr>
        <w:t xml:space="preserve"> Of altogether greater significance than the mere number and length of these interruptions was, however, their character. For the most part they amounted to cross-examination, generally hostile. By his questioning the Commissioner evinced not merely scepticism but sometimes downright incredulity as to the defence being advanced. </w:t>
      </w:r>
      <w:r>
        <w:rPr>
          <w:sz w:val="28"/>
          <w:szCs w:val="28"/>
          <w:lang w:val="en-GB"/>
        </w:rPr>
        <w:t>R</w:t>
      </w:r>
      <w:r w:rsidRPr="00F1604C">
        <w:rPr>
          <w:sz w:val="28"/>
          <w:szCs w:val="28"/>
          <w:lang w:val="en-GB"/>
        </w:rPr>
        <w:t>egrettably too, on occasion the questioning was variously sarcastic, mocking and patronising</w:t>
      </w:r>
      <w:r>
        <w:rPr>
          <w:lang w:val="en-GB"/>
        </w:rPr>
        <w:t xml:space="preserve">. </w:t>
      </w:r>
      <w:bookmarkEnd w:id="6"/>
      <w:r>
        <w:rPr>
          <w:sz w:val="28"/>
          <w:szCs w:val="28"/>
        </w:rPr>
        <w:t xml:space="preserve"> </w:t>
      </w:r>
    </w:p>
    <w:p w:rsidR="00F1604C" w:rsidRDefault="00F1604C" w:rsidP="00161650">
      <w:pPr>
        <w:jc w:val="both"/>
        <w:rPr>
          <w:sz w:val="28"/>
          <w:szCs w:val="28"/>
        </w:rPr>
      </w:pPr>
    </w:p>
    <w:p w:rsidR="00F1604C" w:rsidRDefault="00386915" w:rsidP="00161650">
      <w:pPr>
        <w:spacing w:line="480" w:lineRule="auto"/>
        <w:jc w:val="both"/>
        <w:rPr>
          <w:sz w:val="28"/>
          <w:szCs w:val="28"/>
          <w:lang w:val="en-GB"/>
        </w:rPr>
      </w:pPr>
      <w:r>
        <w:rPr>
          <w:sz w:val="28"/>
          <w:szCs w:val="28"/>
        </w:rPr>
        <w:tab/>
        <w:t>The Privy Council pointed out, at paragraph 18, that “</w:t>
      </w:r>
      <w:r w:rsidRPr="00386915">
        <w:rPr>
          <w:sz w:val="28"/>
          <w:szCs w:val="28"/>
          <w:lang w:val="en-GB"/>
        </w:rPr>
        <w:t xml:space="preserve">the mere fact that a judge intervenes excessively or inappropriately does not necessarily lead to a conviction being quashed. </w:t>
      </w:r>
      <w:r w:rsidR="00166657">
        <w:rPr>
          <w:sz w:val="28"/>
          <w:szCs w:val="28"/>
          <w:lang w:val="en-GB"/>
        </w:rPr>
        <w:t xml:space="preserve"> </w:t>
      </w:r>
      <w:r w:rsidRPr="00386915">
        <w:rPr>
          <w:sz w:val="28"/>
          <w:szCs w:val="28"/>
          <w:lang w:val="en-GB"/>
        </w:rPr>
        <w:t>The decision for the Court is whether the nature and extent of the interventions have resulted in the applicant</w:t>
      </w:r>
      <w:smartTag w:uri="urn:schemas-microsoft-com:office:smarttags" w:element="PersonName">
        <w:r w:rsidRPr="00386915">
          <w:rPr>
            <w:sz w:val="28"/>
            <w:szCs w:val="28"/>
            <w:lang w:val="en-GB"/>
          </w:rPr>
          <w:t>'</w:t>
        </w:r>
      </w:smartTag>
      <w:r w:rsidRPr="00386915">
        <w:rPr>
          <w:sz w:val="28"/>
          <w:szCs w:val="28"/>
          <w:lang w:val="en-GB"/>
        </w:rPr>
        <w:t>s trial becoming unfair</w:t>
      </w:r>
      <w:r>
        <w:rPr>
          <w:sz w:val="28"/>
          <w:szCs w:val="28"/>
          <w:lang w:val="en-GB"/>
        </w:rPr>
        <w:t xml:space="preserve">.”  </w:t>
      </w:r>
      <w:r w:rsidR="00166657">
        <w:rPr>
          <w:sz w:val="28"/>
          <w:szCs w:val="28"/>
          <w:lang w:val="en-GB"/>
        </w:rPr>
        <w:t>But, t</w:t>
      </w:r>
      <w:r>
        <w:rPr>
          <w:sz w:val="28"/>
          <w:szCs w:val="28"/>
          <w:lang w:val="en-GB"/>
        </w:rPr>
        <w:t xml:space="preserve">he Court noted, at paragraph 27, that </w:t>
      </w:r>
      <w:bookmarkStart w:id="7" w:name="para27"/>
      <w:r w:rsidRPr="00386915">
        <w:rPr>
          <w:sz w:val="28"/>
          <w:szCs w:val="28"/>
          <w:lang w:val="en-GB"/>
        </w:rPr>
        <w:t xml:space="preserve">“there comes a </w:t>
      </w:r>
      <w:r w:rsidRPr="00386915">
        <w:rPr>
          <w:sz w:val="28"/>
          <w:szCs w:val="28"/>
          <w:lang w:val="en-GB"/>
        </w:rPr>
        <w:lastRenderedPageBreak/>
        <w:t>point when, however obviously guilty an accused person may appear to be, the Appeal Court reviewing his conviction cannot escape the conclusion that he has simply not been fairly tried: so far from the judge having umpired the contest, rather he has acted effectively as a second prosecutor.</w:t>
      </w:r>
      <w:bookmarkEnd w:id="7"/>
      <w:r>
        <w:rPr>
          <w:sz w:val="28"/>
          <w:szCs w:val="28"/>
          <w:lang w:val="en-GB"/>
        </w:rPr>
        <w:t>”</w:t>
      </w:r>
      <w:r w:rsidR="003A2D0A">
        <w:rPr>
          <w:sz w:val="28"/>
          <w:szCs w:val="28"/>
          <w:lang w:val="en-GB"/>
        </w:rPr>
        <w:t xml:space="preserve">  The Privy Council concluded that the “</w:t>
      </w:r>
      <w:r w:rsidR="003A2D0A" w:rsidRPr="003A2D0A">
        <w:rPr>
          <w:sz w:val="28"/>
          <w:szCs w:val="28"/>
          <w:lang w:val="en-GB"/>
        </w:rPr>
        <w:t>sheer volume</w:t>
      </w:r>
      <w:r w:rsidR="003A2D0A">
        <w:rPr>
          <w:sz w:val="28"/>
          <w:szCs w:val="28"/>
          <w:lang w:val="en-GB"/>
        </w:rPr>
        <w:t>” of the interventions was such that the convictions could not stand (at paragraphs 34 to 36):</w:t>
      </w:r>
    </w:p>
    <w:p w:rsidR="003A2D0A" w:rsidRPr="003A2D0A" w:rsidRDefault="003A2D0A" w:rsidP="00161650">
      <w:pPr>
        <w:spacing w:before="100" w:beforeAutospacing="1" w:after="100" w:afterAutospacing="1"/>
        <w:ind w:left="720"/>
        <w:jc w:val="both"/>
        <w:rPr>
          <w:sz w:val="28"/>
          <w:szCs w:val="28"/>
          <w:lang w:val="en-GB"/>
        </w:rPr>
      </w:pPr>
      <w:bookmarkStart w:id="8" w:name="para34"/>
      <w:r w:rsidRPr="003A2D0A">
        <w:rPr>
          <w:sz w:val="28"/>
          <w:szCs w:val="28"/>
          <w:lang w:val="en-GB"/>
        </w:rPr>
        <w:t xml:space="preserve">Naturally, in </w:t>
      </w:r>
      <w:smartTag w:uri="urn:schemas-microsoft-com:office:smarttags" w:element="place">
        <w:r w:rsidRPr="003A2D0A">
          <w:rPr>
            <w:sz w:val="28"/>
            <w:szCs w:val="28"/>
            <w:lang w:val="en-GB"/>
          </w:rPr>
          <w:t>Jersey</w:t>
        </w:r>
      </w:smartTag>
      <w:r w:rsidRPr="003A2D0A">
        <w:rPr>
          <w:sz w:val="28"/>
          <w:szCs w:val="28"/>
          <w:lang w:val="en-GB"/>
        </w:rPr>
        <w:t xml:space="preserve">, where the facts are decided by the Jurats (the Commissioner retiring with the Jurats but not joining in the fact-finding unless the Jurats disagree), the facts are not summed up so that the </w:t>
      </w:r>
      <w:r w:rsidRPr="00AB2C93">
        <w:rPr>
          <w:i/>
          <w:sz w:val="28"/>
          <w:szCs w:val="28"/>
          <w:lang w:val="en-GB"/>
        </w:rPr>
        <w:t>Nelson</w:t>
      </w:r>
      <w:r w:rsidRPr="003A2D0A">
        <w:rPr>
          <w:sz w:val="28"/>
          <w:szCs w:val="28"/>
          <w:lang w:val="en-GB"/>
        </w:rPr>
        <w:t xml:space="preserve"> approach is not available to the Commissioner. But that cannot begin to justify the Commissioner seeking to give the Jurats the benefit of his analytical powers by way of his own extensive examination of the witnesses, or indicating his thinking by the nature of his questions and comments. Indeed, it does not entitle him to conduct the hearing in any way different from that ordinarily required of a judge at trial. Of course he can clear up ambiguities. Of course he can clarify the answers being given. But he should be seeking to promote the orderly elicitation of the evidence, not needlessly interrupting its flow. He must not cross-examine witnesses, especially not during evidence-in-chief. He must not appear hostile to witnesses, least of all the defendant. He must not belittle or denigrate the defence case. He must not be sarcastic or snide. He must not comment on the evidence while it is being given. And above all he must not make obvious to all his own profound disbelief in the defence being advanced. </w:t>
      </w:r>
      <w:bookmarkEnd w:id="8"/>
    </w:p>
    <w:p w:rsidR="003A2D0A" w:rsidRPr="003A2D0A" w:rsidRDefault="003A2D0A" w:rsidP="00161650">
      <w:pPr>
        <w:spacing w:before="100" w:beforeAutospacing="1" w:after="100" w:afterAutospacing="1"/>
        <w:ind w:left="720"/>
        <w:jc w:val="both"/>
        <w:rPr>
          <w:sz w:val="28"/>
          <w:szCs w:val="28"/>
          <w:lang w:val="en-GB"/>
        </w:rPr>
      </w:pPr>
      <w:bookmarkStart w:id="9" w:name="para35"/>
      <w:r w:rsidRPr="003A2D0A">
        <w:rPr>
          <w:sz w:val="28"/>
          <w:szCs w:val="28"/>
          <w:lang w:val="en-GB"/>
        </w:rPr>
        <w:t>Regretfully the Commissioner</w:t>
      </w:r>
      <w:smartTag w:uri="urn:schemas-microsoft-com:office:smarttags" w:element="PersonName">
        <w:r w:rsidRPr="003A2D0A">
          <w:rPr>
            <w:sz w:val="28"/>
            <w:szCs w:val="28"/>
            <w:lang w:val="en-GB"/>
          </w:rPr>
          <w:t>'</w:t>
        </w:r>
      </w:smartTag>
      <w:r w:rsidRPr="003A2D0A">
        <w:rPr>
          <w:sz w:val="28"/>
          <w:szCs w:val="28"/>
          <w:lang w:val="en-GB"/>
        </w:rPr>
        <w:t>s interventions during this trial breached each one of those canons. One can understand his incredulity during parts of the defendant</w:t>
      </w:r>
      <w:smartTag w:uri="urn:schemas-microsoft-com:office:smarttags" w:element="PersonName">
        <w:r w:rsidRPr="003A2D0A">
          <w:rPr>
            <w:sz w:val="28"/>
            <w:szCs w:val="28"/>
            <w:lang w:val="en-GB"/>
          </w:rPr>
          <w:t>'</w:t>
        </w:r>
      </w:smartTag>
      <w:r w:rsidRPr="003A2D0A">
        <w:rPr>
          <w:sz w:val="28"/>
          <w:szCs w:val="28"/>
          <w:lang w:val="en-GB"/>
        </w:rPr>
        <w:t>s evidence. But quite why he thought it necessary to manifest it is altogether more difficult to follow. Not only was it improper, but he could scarcely have thought the Jurats unable to perceive for themselves many of the defence</w:t>
      </w:r>
      <w:smartTag w:uri="urn:schemas-microsoft-com:office:smarttags" w:element="PersonName">
        <w:r w:rsidRPr="003A2D0A">
          <w:rPr>
            <w:sz w:val="28"/>
            <w:szCs w:val="28"/>
            <w:lang w:val="en-GB"/>
          </w:rPr>
          <w:t>'</w:t>
        </w:r>
      </w:smartTag>
      <w:r w:rsidRPr="003A2D0A">
        <w:rPr>
          <w:sz w:val="28"/>
          <w:szCs w:val="28"/>
          <w:lang w:val="en-GB"/>
        </w:rPr>
        <w:t xml:space="preserve">s "implausibilities, inconsistencies and illogicalities". </w:t>
      </w:r>
      <w:bookmarkEnd w:id="9"/>
    </w:p>
    <w:p w:rsidR="00F1604C" w:rsidRPr="00935CDC" w:rsidRDefault="003A2D0A" w:rsidP="00161650">
      <w:pPr>
        <w:spacing w:before="100" w:beforeAutospacing="1" w:after="100" w:afterAutospacing="1"/>
        <w:ind w:left="720"/>
        <w:jc w:val="both"/>
        <w:rPr>
          <w:sz w:val="28"/>
          <w:szCs w:val="28"/>
        </w:rPr>
      </w:pPr>
      <w:bookmarkStart w:id="10" w:name="para36"/>
      <w:r w:rsidRPr="003A2D0A">
        <w:rPr>
          <w:sz w:val="28"/>
          <w:szCs w:val="28"/>
          <w:lang w:val="en-GB"/>
        </w:rPr>
        <w:lastRenderedPageBreak/>
        <w:t xml:space="preserve">Tempting though it is to include within this opinion a number of further citations from the transcript, the Board will not succumb. As already stated, no one has sought to justify the bulk of these interventions and in the end it is their sheer volume which compels the conclusion that this conviction cannot stand. </w:t>
      </w:r>
      <w:bookmarkEnd w:id="10"/>
    </w:p>
    <w:p w:rsidR="00A1333E" w:rsidRDefault="00F1604C" w:rsidP="00161650">
      <w:pPr>
        <w:spacing w:line="480" w:lineRule="auto"/>
        <w:ind w:firstLine="720"/>
        <w:jc w:val="both"/>
        <w:rPr>
          <w:bCs/>
          <w:sz w:val="28"/>
          <w:szCs w:val="28"/>
        </w:rPr>
      </w:pPr>
      <w:r>
        <w:rPr>
          <w:bCs/>
          <w:sz w:val="28"/>
          <w:szCs w:val="28"/>
        </w:rPr>
        <w:t xml:space="preserve">In </w:t>
      </w:r>
      <w:r w:rsidR="00A1333E" w:rsidRPr="00F55AC8">
        <w:rPr>
          <w:b/>
          <w:bCs/>
          <w:i/>
          <w:sz w:val="28"/>
          <w:szCs w:val="28"/>
        </w:rPr>
        <w:t>R. v. Corbett</w:t>
      </w:r>
      <w:r w:rsidR="00A1333E" w:rsidRPr="00A1333E">
        <w:rPr>
          <w:bCs/>
          <w:sz w:val="28"/>
          <w:szCs w:val="28"/>
        </w:rPr>
        <w:t xml:space="preserve">, </w:t>
      </w:r>
      <w:r w:rsidR="00F55AC8">
        <w:rPr>
          <w:bCs/>
          <w:sz w:val="28"/>
          <w:szCs w:val="28"/>
        </w:rPr>
        <w:t>[</w:t>
      </w:r>
      <w:r w:rsidR="00A1333E" w:rsidRPr="00A1333E">
        <w:rPr>
          <w:bCs/>
          <w:sz w:val="28"/>
          <w:szCs w:val="28"/>
        </w:rPr>
        <w:t>2009</w:t>
      </w:r>
      <w:r w:rsidR="00F55AC8">
        <w:rPr>
          <w:bCs/>
          <w:sz w:val="28"/>
          <w:szCs w:val="28"/>
        </w:rPr>
        <w:t>] A.J.</w:t>
      </w:r>
      <w:r>
        <w:rPr>
          <w:bCs/>
          <w:sz w:val="28"/>
          <w:szCs w:val="28"/>
        </w:rPr>
        <w:t xml:space="preserve"> </w:t>
      </w:r>
      <w:r w:rsidR="00F55AC8">
        <w:rPr>
          <w:bCs/>
          <w:sz w:val="28"/>
          <w:szCs w:val="28"/>
        </w:rPr>
        <w:t>No. 1189 (Q.B.), the accused was convicted of an offence, contrary to section 253</w:t>
      </w:r>
      <w:r w:rsidR="00651A25">
        <w:rPr>
          <w:bCs/>
          <w:sz w:val="28"/>
          <w:szCs w:val="28"/>
        </w:rPr>
        <w:t>(1</w:t>
      </w:r>
      <w:proofErr w:type="gramStart"/>
      <w:r w:rsidR="00651A25">
        <w:rPr>
          <w:bCs/>
          <w:sz w:val="28"/>
          <w:szCs w:val="28"/>
        </w:rPr>
        <w:t>)</w:t>
      </w:r>
      <w:r w:rsidR="00F55AC8">
        <w:rPr>
          <w:bCs/>
          <w:sz w:val="28"/>
          <w:szCs w:val="28"/>
        </w:rPr>
        <w:t>(</w:t>
      </w:r>
      <w:proofErr w:type="gramEnd"/>
      <w:r w:rsidR="00F55AC8">
        <w:rPr>
          <w:bCs/>
          <w:sz w:val="28"/>
          <w:szCs w:val="28"/>
        </w:rPr>
        <w:t xml:space="preserve">b) of the </w:t>
      </w:r>
      <w:r w:rsidR="00F55AC8" w:rsidRPr="00F55AC8">
        <w:rPr>
          <w:bCs/>
          <w:i/>
          <w:sz w:val="28"/>
          <w:szCs w:val="28"/>
        </w:rPr>
        <w:t>Criminal Code of Canada</w:t>
      </w:r>
      <w:r w:rsidR="00F55AC8">
        <w:rPr>
          <w:bCs/>
          <w:sz w:val="28"/>
          <w:szCs w:val="28"/>
        </w:rPr>
        <w:t>, RSC 1985.  An appeal was taken to the summary conviction appeal court and one of the grounds of appeal raised the issue of reasonable apprehension of bias.  The accused referred to numerous comments made by the trial judge</w:t>
      </w:r>
      <w:r w:rsidR="007907CC">
        <w:rPr>
          <w:bCs/>
          <w:sz w:val="28"/>
          <w:szCs w:val="28"/>
        </w:rPr>
        <w:t>,</w:t>
      </w:r>
      <w:r w:rsidR="00F55AC8">
        <w:rPr>
          <w:bCs/>
          <w:sz w:val="28"/>
          <w:szCs w:val="28"/>
        </w:rPr>
        <w:t xml:space="preserve"> including a comment made to </w:t>
      </w:r>
      <w:r w:rsidR="007907CC">
        <w:rPr>
          <w:bCs/>
          <w:sz w:val="28"/>
          <w:szCs w:val="28"/>
        </w:rPr>
        <w:t>C</w:t>
      </w:r>
      <w:r w:rsidR="00F55AC8">
        <w:rPr>
          <w:bCs/>
          <w:sz w:val="28"/>
          <w:szCs w:val="28"/>
        </w:rPr>
        <w:t>rown</w:t>
      </w:r>
      <w:r w:rsidR="007907CC">
        <w:rPr>
          <w:bCs/>
          <w:sz w:val="28"/>
          <w:szCs w:val="28"/>
        </w:rPr>
        <w:t xml:space="preserve"> counsel,</w:t>
      </w:r>
      <w:r w:rsidR="00F55AC8">
        <w:rPr>
          <w:bCs/>
          <w:sz w:val="28"/>
          <w:szCs w:val="28"/>
        </w:rPr>
        <w:t xml:space="preserve"> as establishing a reasonable apprehension of bias.  The appeal court judge described the latter comment as follows (at paragraph 43):</w:t>
      </w:r>
    </w:p>
    <w:p w:rsidR="00F55AC8" w:rsidRDefault="00F55AC8" w:rsidP="00161650">
      <w:pPr>
        <w:ind w:left="720"/>
        <w:jc w:val="both"/>
        <w:rPr>
          <w:color w:val="000000"/>
          <w:sz w:val="28"/>
          <w:szCs w:val="28"/>
        </w:rPr>
      </w:pPr>
      <w:r w:rsidRPr="00F55AC8">
        <w:rPr>
          <w:color w:val="000000"/>
          <w:sz w:val="28"/>
          <w:szCs w:val="28"/>
        </w:rPr>
        <w:t>The final point raised by the Appellant relates to the Trial Judge</w:t>
      </w:r>
      <w:smartTag w:uri="urn:schemas-microsoft-com:office:smarttags" w:element="PersonName">
        <w:r w:rsidRPr="00F55AC8">
          <w:rPr>
            <w:color w:val="000000"/>
            <w:sz w:val="28"/>
            <w:szCs w:val="28"/>
          </w:rPr>
          <w:t>'</w:t>
        </w:r>
      </w:smartTag>
      <w:r w:rsidRPr="00F55AC8">
        <w:rPr>
          <w:color w:val="000000"/>
          <w:sz w:val="28"/>
          <w:szCs w:val="28"/>
        </w:rPr>
        <w:t xml:space="preserve">s questions to the Crown as to whether the Crown had tendered the Certificate of Analyses, and whether the evidence on the </w:t>
      </w:r>
      <w:r w:rsidRPr="00F55AC8">
        <w:rPr>
          <w:rStyle w:val="italic1"/>
          <w:color w:val="000000"/>
          <w:sz w:val="28"/>
          <w:szCs w:val="28"/>
        </w:rPr>
        <w:t>voir dire</w:t>
      </w:r>
      <w:r w:rsidRPr="00F55AC8">
        <w:rPr>
          <w:color w:val="000000"/>
          <w:sz w:val="28"/>
          <w:szCs w:val="28"/>
        </w:rPr>
        <w:t xml:space="preserve"> was applied by consent to the trial proper. The Appellant characterizes these queries as incidents in which the Trial Judge "assisted" the Crown, arguing that "the Crown has a burden to prove the material elements of the offence and it is very inappropriate for the Court to prompt or alert the Crown when they have failed to do that." This conduct, the Appellant argues, would cause a reasonable person to conclude that the Trial Judge was not "disinterested in the outcome".</w:t>
      </w:r>
    </w:p>
    <w:p w:rsidR="00F55AC8" w:rsidRDefault="00F55AC8" w:rsidP="00161650">
      <w:pPr>
        <w:jc w:val="both"/>
        <w:rPr>
          <w:color w:val="000000"/>
          <w:sz w:val="28"/>
          <w:szCs w:val="28"/>
        </w:rPr>
      </w:pPr>
    </w:p>
    <w:p w:rsidR="00E547F3" w:rsidRDefault="00F55AC8" w:rsidP="00161650">
      <w:pPr>
        <w:spacing w:line="480" w:lineRule="auto"/>
        <w:ind w:firstLine="720"/>
        <w:jc w:val="both"/>
        <w:rPr>
          <w:rStyle w:val="FootnoteReference"/>
          <w:color w:val="000000"/>
          <w:sz w:val="28"/>
          <w:szCs w:val="28"/>
        </w:rPr>
      </w:pPr>
      <w:r>
        <w:rPr>
          <w:color w:val="000000"/>
          <w:sz w:val="28"/>
          <w:szCs w:val="28"/>
        </w:rPr>
        <w:t xml:space="preserve">In dismissing this ground of appeal, the appeal court judge </w:t>
      </w:r>
      <w:r w:rsidR="008F7241">
        <w:rPr>
          <w:color w:val="000000"/>
          <w:sz w:val="28"/>
          <w:szCs w:val="28"/>
        </w:rPr>
        <w:t>held</w:t>
      </w:r>
      <w:r w:rsidR="00E547F3">
        <w:rPr>
          <w:color w:val="000000"/>
          <w:sz w:val="28"/>
          <w:szCs w:val="28"/>
        </w:rPr>
        <w:t>, at paragraph 56, that a reasonable apprehension of bias had not been established</w:t>
      </w:r>
      <w:r w:rsidR="008F7241">
        <w:rPr>
          <w:color w:val="000000"/>
          <w:sz w:val="28"/>
          <w:szCs w:val="28"/>
        </w:rPr>
        <w:t>.  The appeal court judge concluded that e</w:t>
      </w:r>
      <w:r w:rsidR="008F7241" w:rsidRPr="00E547F3">
        <w:rPr>
          <w:color w:val="000000"/>
          <w:sz w:val="28"/>
          <w:szCs w:val="28"/>
        </w:rPr>
        <w:t xml:space="preserve">ven </w:t>
      </w:r>
      <w:r w:rsidR="008F7241">
        <w:rPr>
          <w:color w:val="000000"/>
          <w:sz w:val="28"/>
          <w:szCs w:val="28"/>
        </w:rPr>
        <w:t>if “</w:t>
      </w:r>
      <w:r w:rsidR="008F7241" w:rsidRPr="00E547F3">
        <w:rPr>
          <w:color w:val="000000"/>
          <w:sz w:val="28"/>
          <w:szCs w:val="28"/>
        </w:rPr>
        <w:t xml:space="preserve">the inquiries could be characterized as prompts, they would not lead a reasonable </w:t>
      </w:r>
      <w:r w:rsidR="008F7241" w:rsidRPr="00E547F3">
        <w:rPr>
          <w:color w:val="000000"/>
          <w:sz w:val="28"/>
          <w:szCs w:val="28"/>
        </w:rPr>
        <w:lastRenderedPageBreak/>
        <w:t>observer to believe the Trial Judge had assumed the role of Crown counsel or was partial to the Crown</w:t>
      </w:r>
      <w:r w:rsidR="008F7241">
        <w:rPr>
          <w:color w:val="000000"/>
          <w:sz w:val="28"/>
          <w:szCs w:val="28"/>
        </w:rPr>
        <w:t>”:</w:t>
      </w:r>
      <w:r w:rsidR="004352B6">
        <w:rPr>
          <w:color w:val="000000"/>
          <w:sz w:val="28"/>
          <w:szCs w:val="28"/>
        </w:rPr>
        <w:t xml:space="preserve">    </w:t>
      </w:r>
    </w:p>
    <w:p w:rsidR="00DC15AE" w:rsidRDefault="00E547F3" w:rsidP="00161650">
      <w:pPr>
        <w:ind w:left="720"/>
        <w:jc w:val="both"/>
        <w:rPr>
          <w:color w:val="000000"/>
          <w:sz w:val="28"/>
          <w:szCs w:val="28"/>
        </w:rPr>
      </w:pPr>
      <w:r>
        <w:rPr>
          <w:color w:val="000000"/>
          <w:sz w:val="28"/>
          <w:szCs w:val="28"/>
        </w:rPr>
        <w:t>...</w:t>
      </w:r>
      <w:r w:rsidRPr="00E547F3">
        <w:rPr>
          <w:color w:val="000000"/>
          <w:sz w:val="28"/>
          <w:szCs w:val="28"/>
        </w:rPr>
        <w:t xml:space="preserve">the actions complained of by the Appellant do not approach the level of judicial intervention that could give rise to an unfair trial or a reasonable perception of bias. The course of this relatively brief trial was rendered somewhat procedurally complex by the inclusion of two </w:t>
      </w:r>
      <w:r w:rsidRPr="00E547F3">
        <w:rPr>
          <w:rStyle w:val="italic1"/>
          <w:color w:val="000000"/>
          <w:sz w:val="28"/>
          <w:szCs w:val="28"/>
        </w:rPr>
        <w:t>voir dires</w:t>
      </w:r>
      <w:r w:rsidRPr="00E547F3">
        <w:rPr>
          <w:color w:val="000000"/>
          <w:sz w:val="28"/>
          <w:szCs w:val="28"/>
        </w:rPr>
        <w:t xml:space="preserve">. In the course of discussions with counsel at the commencement and conclusion of the second </w:t>
      </w:r>
      <w:r w:rsidRPr="00E547F3">
        <w:rPr>
          <w:rStyle w:val="italic1"/>
          <w:color w:val="000000"/>
          <w:sz w:val="28"/>
          <w:szCs w:val="28"/>
        </w:rPr>
        <w:t>voir dire</w:t>
      </w:r>
      <w:r w:rsidRPr="00E547F3">
        <w:rPr>
          <w:color w:val="000000"/>
          <w:sz w:val="28"/>
          <w:szCs w:val="28"/>
        </w:rPr>
        <w:t>, the Trial Judge asked two questions: first, whether the Certificate of Analys</w:t>
      </w:r>
      <w:r w:rsidR="008F7241">
        <w:rPr>
          <w:color w:val="000000"/>
          <w:sz w:val="28"/>
          <w:szCs w:val="28"/>
        </w:rPr>
        <w:t>i</w:t>
      </w:r>
      <w:r w:rsidRPr="00E547F3">
        <w:rPr>
          <w:color w:val="000000"/>
          <w:sz w:val="28"/>
          <w:szCs w:val="28"/>
        </w:rPr>
        <w:t xml:space="preserve">s, which had already been referred to in evidence, had been tendered as an exhibit, and second, whether the evidence on the </w:t>
      </w:r>
      <w:r w:rsidRPr="00E547F3">
        <w:rPr>
          <w:rStyle w:val="italic1"/>
          <w:color w:val="000000"/>
          <w:sz w:val="28"/>
          <w:szCs w:val="28"/>
        </w:rPr>
        <w:t>voir dire</w:t>
      </w:r>
      <w:r w:rsidRPr="00E547F3">
        <w:rPr>
          <w:color w:val="000000"/>
          <w:sz w:val="28"/>
          <w:szCs w:val="28"/>
        </w:rPr>
        <w:t xml:space="preserve"> was to be applied to the trial proper. Both were simple inquiries about non-contentious procedural steps. Even assuming the inquiries could be characterized as prompts, they would not lead a reasonable observer to believe the Trial Judge had assumed the role of Crown counsel or was partial to the Crown.</w:t>
      </w:r>
      <w:r w:rsidR="00FA69EE">
        <w:rPr>
          <w:rStyle w:val="FootnoteReference"/>
          <w:color w:val="000000"/>
          <w:sz w:val="28"/>
          <w:szCs w:val="28"/>
        </w:rPr>
        <w:footnoteReference w:id="1"/>
      </w:r>
      <w:r w:rsidR="00F55AC8" w:rsidRPr="00E547F3">
        <w:rPr>
          <w:color w:val="000000"/>
          <w:sz w:val="28"/>
          <w:szCs w:val="28"/>
        </w:rPr>
        <w:t xml:space="preserve"> </w:t>
      </w:r>
    </w:p>
    <w:p w:rsidR="008F7241" w:rsidRDefault="008F7241" w:rsidP="008F7241">
      <w:pPr>
        <w:jc w:val="both"/>
        <w:rPr>
          <w:color w:val="000000"/>
          <w:sz w:val="28"/>
          <w:szCs w:val="28"/>
        </w:rPr>
      </w:pPr>
    </w:p>
    <w:p w:rsidR="00DC15AE" w:rsidRDefault="00DC15AE" w:rsidP="00161650">
      <w:pPr>
        <w:spacing w:line="480" w:lineRule="auto"/>
        <w:ind w:firstLine="720"/>
        <w:jc w:val="both"/>
        <w:rPr>
          <w:color w:val="000000"/>
          <w:sz w:val="28"/>
          <w:szCs w:val="28"/>
        </w:rPr>
      </w:pPr>
      <w:r>
        <w:rPr>
          <w:color w:val="000000"/>
          <w:sz w:val="28"/>
          <w:szCs w:val="28"/>
        </w:rPr>
        <w:t xml:space="preserve">In </w:t>
      </w:r>
      <w:r w:rsidRPr="00DC15AE">
        <w:rPr>
          <w:b/>
          <w:i/>
          <w:color w:val="000000"/>
          <w:sz w:val="28"/>
          <w:szCs w:val="28"/>
        </w:rPr>
        <w:t xml:space="preserve">R. v. </w:t>
      </w:r>
      <w:r>
        <w:rPr>
          <w:b/>
          <w:i/>
          <w:color w:val="000000"/>
          <w:sz w:val="28"/>
          <w:szCs w:val="28"/>
        </w:rPr>
        <w:t>Svekla</w:t>
      </w:r>
      <w:r>
        <w:rPr>
          <w:color w:val="000000"/>
          <w:sz w:val="28"/>
          <w:szCs w:val="28"/>
        </w:rPr>
        <w:t>, 2010 ABCA 390, the accused was convicted of the</w:t>
      </w:r>
      <w:r w:rsidR="00F55AC8" w:rsidRPr="00E547F3">
        <w:rPr>
          <w:color w:val="000000"/>
          <w:sz w:val="28"/>
          <w:szCs w:val="28"/>
        </w:rPr>
        <w:t xml:space="preserve"> </w:t>
      </w:r>
      <w:r>
        <w:rPr>
          <w:color w:val="000000"/>
          <w:sz w:val="28"/>
          <w:szCs w:val="28"/>
        </w:rPr>
        <w:t xml:space="preserve">offence of sexual assault.  He argued on appeal that comments made by the trial judge during a </w:t>
      </w:r>
      <w:r w:rsidRPr="00DC15AE">
        <w:rPr>
          <w:i/>
          <w:color w:val="000000"/>
          <w:sz w:val="28"/>
          <w:szCs w:val="28"/>
        </w:rPr>
        <w:t>voir dire</w:t>
      </w:r>
      <w:r>
        <w:rPr>
          <w:color w:val="000000"/>
          <w:sz w:val="28"/>
          <w:szCs w:val="28"/>
        </w:rPr>
        <w:t xml:space="preserve"> indicated that the trial judge had “pre-judged” the matter. </w:t>
      </w:r>
      <w:r w:rsidR="005837BF">
        <w:rPr>
          <w:color w:val="000000"/>
          <w:sz w:val="28"/>
          <w:szCs w:val="28"/>
        </w:rPr>
        <w:t xml:space="preserve"> </w:t>
      </w:r>
      <w:r>
        <w:rPr>
          <w:color w:val="000000"/>
          <w:sz w:val="28"/>
          <w:szCs w:val="28"/>
        </w:rPr>
        <w:t xml:space="preserve">His argument was summarized by the </w:t>
      </w:r>
      <w:r w:rsidR="00651A25">
        <w:rPr>
          <w:color w:val="000000"/>
          <w:sz w:val="28"/>
          <w:szCs w:val="28"/>
        </w:rPr>
        <w:t xml:space="preserve">Alberta </w:t>
      </w:r>
      <w:r>
        <w:rPr>
          <w:color w:val="000000"/>
          <w:sz w:val="28"/>
          <w:szCs w:val="28"/>
        </w:rPr>
        <w:t xml:space="preserve">Court of </w:t>
      </w:r>
      <w:r w:rsidR="00651A25">
        <w:rPr>
          <w:color w:val="000000"/>
          <w:sz w:val="28"/>
          <w:szCs w:val="28"/>
        </w:rPr>
        <w:t>A</w:t>
      </w:r>
      <w:r>
        <w:rPr>
          <w:color w:val="000000"/>
          <w:sz w:val="28"/>
          <w:szCs w:val="28"/>
        </w:rPr>
        <w:t>ppeal as follows:</w:t>
      </w:r>
    </w:p>
    <w:p w:rsidR="00DC15AE" w:rsidRDefault="00DC15AE" w:rsidP="00161650">
      <w:pPr>
        <w:ind w:left="720"/>
        <w:jc w:val="both"/>
        <w:rPr>
          <w:color w:val="000000"/>
          <w:sz w:val="28"/>
          <w:szCs w:val="28"/>
        </w:rPr>
      </w:pPr>
      <w:r w:rsidRPr="00DC15AE">
        <w:rPr>
          <w:color w:val="000000"/>
          <w:sz w:val="28"/>
          <w:szCs w:val="28"/>
        </w:rPr>
        <w:t>The appellant points to two passages in the Similar Fact Evidence Ruling to suggest the trial</w:t>
      </w:r>
      <w:r>
        <w:rPr>
          <w:color w:val="000000"/>
          <w:sz w:val="28"/>
          <w:szCs w:val="28"/>
        </w:rPr>
        <w:t xml:space="preserve"> </w:t>
      </w:r>
      <w:r w:rsidRPr="00DC15AE">
        <w:rPr>
          <w:color w:val="000000"/>
          <w:sz w:val="28"/>
          <w:szCs w:val="28"/>
        </w:rPr>
        <w:t>judge pre-judged the appellant’s guilt: “the only logical inference to be drawn from the statement</w:t>
      </w:r>
      <w:r>
        <w:rPr>
          <w:color w:val="000000"/>
          <w:sz w:val="28"/>
          <w:szCs w:val="28"/>
        </w:rPr>
        <w:t xml:space="preserve"> </w:t>
      </w:r>
      <w:r w:rsidRPr="00DC15AE">
        <w:rPr>
          <w:color w:val="000000"/>
          <w:sz w:val="28"/>
          <w:szCs w:val="28"/>
        </w:rPr>
        <w:t>[that PL was “better” than MB’s daughter ever was] is that the accused engaged in sexual activity</w:t>
      </w:r>
      <w:r>
        <w:rPr>
          <w:color w:val="000000"/>
          <w:sz w:val="28"/>
          <w:szCs w:val="28"/>
        </w:rPr>
        <w:t xml:space="preserve"> </w:t>
      </w:r>
      <w:r w:rsidRPr="00DC15AE">
        <w:rPr>
          <w:color w:val="000000"/>
          <w:sz w:val="28"/>
          <w:szCs w:val="28"/>
        </w:rPr>
        <w:t>with P.L. ... it is not only permissible ... to infer that the accused probably engaged in some sort of</w:t>
      </w:r>
      <w:r>
        <w:rPr>
          <w:color w:val="000000"/>
          <w:sz w:val="28"/>
          <w:szCs w:val="28"/>
        </w:rPr>
        <w:t xml:space="preserve"> </w:t>
      </w:r>
      <w:r w:rsidRPr="00DC15AE">
        <w:rPr>
          <w:color w:val="000000"/>
          <w:sz w:val="28"/>
          <w:szCs w:val="28"/>
        </w:rPr>
        <w:t>sexual misconduct with P.L., it would be illogical not to do so”: paras 31 and 32.</w:t>
      </w:r>
    </w:p>
    <w:p w:rsidR="00DC15AE" w:rsidRDefault="00DC15AE" w:rsidP="00161650">
      <w:pPr>
        <w:jc w:val="both"/>
        <w:rPr>
          <w:color w:val="000000"/>
          <w:sz w:val="28"/>
          <w:szCs w:val="28"/>
        </w:rPr>
      </w:pPr>
    </w:p>
    <w:p w:rsidR="00DC15AE" w:rsidRDefault="00DC15AE" w:rsidP="004352B6">
      <w:pPr>
        <w:spacing w:line="480" w:lineRule="auto"/>
        <w:ind w:firstLine="720"/>
        <w:jc w:val="both"/>
        <w:rPr>
          <w:color w:val="000000"/>
          <w:sz w:val="28"/>
          <w:szCs w:val="28"/>
        </w:rPr>
      </w:pPr>
      <w:r>
        <w:rPr>
          <w:color w:val="000000"/>
          <w:sz w:val="28"/>
          <w:szCs w:val="28"/>
        </w:rPr>
        <w:lastRenderedPageBreak/>
        <w:t>The Court of Appeal rejected this argument</w:t>
      </w:r>
      <w:r w:rsidR="005837BF">
        <w:rPr>
          <w:color w:val="000000"/>
          <w:sz w:val="28"/>
          <w:szCs w:val="28"/>
        </w:rPr>
        <w:t>.  It concluded that t</w:t>
      </w:r>
      <w:r w:rsidR="005837BF" w:rsidRPr="00DC15AE">
        <w:rPr>
          <w:color w:val="000000"/>
          <w:sz w:val="28"/>
          <w:szCs w:val="28"/>
        </w:rPr>
        <w:t xml:space="preserve">he trial judge’s </w:t>
      </w:r>
      <w:r w:rsidR="005837BF">
        <w:rPr>
          <w:color w:val="000000"/>
          <w:sz w:val="28"/>
          <w:szCs w:val="28"/>
        </w:rPr>
        <w:t>“</w:t>
      </w:r>
      <w:r w:rsidR="005837BF" w:rsidRPr="00DC15AE">
        <w:rPr>
          <w:color w:val="000000"/>
          <w:sz w:val="28"/>
          <w:szCs w:val="28"/>
        </w:rPr>
        <w:t>self-instruction</w:t>
      </w:r>
      <w:r w:rsidR="005837BF">
        <w:rPr>
          <w:color w:val="000000"/>
          <w:sz w:val="28"/>
          <w:szCs w:val="28"/>
        </w:rPr>
        <w:t xml:space="preserve"> </w:t>
      </w:r>
      <w:r w:rsidR="005837BF" w:rsidRPr="00DC15AE">
        <w:rPr>
          <w:color w:val="000000"/>
          <w:sz w:val="28"/>
          <w:szCs w:val="28"/>
        </w:rPr>
        <w:t>was appropriate</w:t>
      </w:r>
      <w:r w:rsidR="005837BF">
        <w:rPr>
          <w:color w:val="000000"/>
          <w:sz w:val="28"/>
          <w:szCs w:val="28"/>
        </w:rPr>
        <w:t xml:space="preserve">” </w:t>
      </w:r>
      <w:r>
        <w:rPr>
          <w:color w:val="000000"/>
          <w:sz w:val="28"/>
          <w:szCs w:val="28"/>
        </w:rPr>
        <w:t>(at paragraph 13):</w:t>
      </w:r>
    </w:p>
    <w:p w:rsidR="00DC15AE" w:rsidRPr="00DC15AE" w:rsidRDefault="00DC15AE" w:rsidP="00161650">
      <w:pPr>
        <w:ind w:left="720"/>
        <w:jc w:val="both"/>
        <w:rPr>
          <w:color w:val="000000"/>
          <w:sz w:val="28"/>
          <w:szCs w:val="28"/>
        </w:rPr>
      </w:pPr>
      <w:r w:rsidRPr="00DC15AE">
        <w:rPr>
          <w:color w:val="000000"/>
          <w:sz w:val="28"/>
          <w:szCs w:val="28"/>
        </w:rPr>
        <w:t>We are not persuaded this ground of appeal is made out. The trial judge’s self-instruction</w:t>
      </w:r>
      <w:r>
        <w:rPr>
          <w:color w:val="000000"/>
          <w:sz w:val="28"/>
          <w:szCs w:val="28"/>
        </w:rPr>
        <w:t xml:space="preserve"> </w:t>
      </w:r>
      <w:r w:rsidRPr="00DC15AE">
        <w:rPr>
          <w:color w:val="000000"/>
          <w:sz w:val="28"/>
          <w:szCs w:val="28"/>
        </w:rPr>
        <w:t>was appropriate. He made it clear in paragraph 3 of the Similar Fact Evidence Ruling that everything</w:t>
      </w:r>
      <w:r>
        <w:rPr>
          <w:color w:val="000000"/>
          <w:sz w:val="28"/>
          <w:szCs w:val="28"/>
        </w:rPr>
        <w:t xml:space="preserve"> </w:t>
      </w:r>
      <w:r w:rsidRPr="00DC15AE">
        <w:rPr>
          <w:color w:val="000000"/>
          <w:sz w:val="28"/>
          <w:szCs w:val="28"/>
        </w:rPr>
        <w:t xml:space="preserve">that followed </w:t>
      </w:r>
      <w:r>
        <w:rPr>
          <w:color w:val="000000"/>
          <w:sz w:val="28"/>
          <w:szCs w:val="28"/>
        </w:rPr>
        <w:t>c</w:t>
      </w:r>
      <w:r w:rsidRPr="00DC15AE">
        <w:rPr>
          <w:color w:val="000000"/>
          <w:sz w:val="28"/>
          <w:szCs w:val="28"/>
        </w:rPr>
        <w:t>oncerned the determination of whether the evidence was admissible. He properly</w:t>
      </w:r>
      <w:r>
        <w:rPr>
          <w:color w:val="000000"/>
          <w:sz w:val="28"/>
          <w:szCs w:val="28"/>
        </w:rPr>
        <w:t xml:space="preserve"> </w:t>
      </w:r>
      <w:r w:rsidRPr="00DC15AE">
        <w:rPr>
          <w:color w:val="000000"/>
          <w:sz w:val="28"/>
          <w:szCs w:val="28"/>
        </w:rPr>
        <w:t>stated the test for admissibility of similar fact evidence more than once. He obviously understood</w:t>
      </w:r>
      <w:r>
        <w:rPr>
          <w:color w:val="000000"/>
          <w:sz w:val="28"/>
          <w:szCs w:val="28"/>
        </w:rPr>
        <w:t xml:space="preserve"> </w:t>
      </w:r>
      <w:r w:rsidRPr="00DC15AE">
        <w:rPr>
          <w:color w:val="000000"/>
          <w:sz w:val="28"/>
          <w:szCs w:val="28"/>
        </w:rPr>
        <w:t>that to overcome the presumption against admissibility, he had to assess the probative value of the</w:t>
      </w:r>
      <w:r>
        <w:rPr>
          <w:color w:val="000000"/>
          <w:sz w:val="28"/>
          <w:szCs w:val="28"/>
        </w:rPr>
        <w:t xml:space="preserve"> </w:t>
      </w:r>
      <w:r w:rsidRPr="00DC15AE">
        <w:rPr>
          <w:color w:val="000000"/>
          <w:sz w:val="28"/>
          <w:szCs w:val="28"/>
        </w:rPr>
        <w:t>proposed similar fact evidence. His comments were all directed to that exercise. He did not thereby</w:t>
      </w:r>
      <w:r>
        <w:rPr>
          <w:color w:val="000000"/>
          <w:sz w:val="28"/>
          <w:szCs w:val="28"/>
        </w:rPr>
        <w:t xml:space="preserve"> </w:t>
      </w:r>
      <w:r w:rsidRPr="00DC15AE">
        <w:rPr>
          <w:color w:val="000000"/>
          <w:sz w:val="28"/>
          <w:szCs w:val="28"/>
        </w:rPr>
        <w:t>pre-judge the appellant’s guilt. Moreover, the appellant conceded during oral argument that if there</w:t>
      </w:r>
    </w:p>
    <w:p w:rsidR="00DC15AE" w:rsidRDefault="00DC15AE" w:rsidP="00161650">
      <w:pPr>
        <w:ind w:left="720"/>
        <w:jc w:val="both"/>
        <w:rPr>
          <w:color w:val="000000"/>
          <w:sz w:val="28"/>
          <w:szCs w:val="28"/>
        </w:rPr>
      </w:pPr>
      <w:proofErr w:type="gramStart"/>
      <w:r w:rsidRPr="00DC15AE">
        <w:rPr>
          <w:color w:val="000000"/>
          <w:sz w:val="28"/>
          <w:szCs w:val="28"/>
        </w:rPr>
        <w:t>is</w:t>
      </w:r>
      <w:proofErr w:type="gramEnd"/>
      <w:r w:rsidRPr="00DC15AE">
        <w:rPr>
          <w:color w:val="000000"/>
          <w:sz w:val="28"/>
          <w:szCs w:val="28"/>
        </w:rPr>
        <w:t xml:space="preserve"> a concern about a mid-trial finding of guilt by a trial judge, the</w:t>
      </w:r>
      <w:r>
        <w:rPr>
          <w:color w:val="000000"/>
          <w:sz w:val="28"/>
          <w:szCs w:val="28"/>
        </w:rPr>
        <w:t xml:space="preserve"> </w:t>
      </w:r>
      <w:r w:rsidRPr="00DC15AE">
        <w:rPr>
          <w:color w:val="000000"/>
          <w:sz w:val="28"/>
          <w:szCs w:val="28"/>
        </w:rPr>
        <w:t>better approach is to seek a mistrial</w:t>
      </w:r>
      <w:r>
        <w:rPr>
          <w:color w:val="000000"/>
          <w:sz w:val="28"/>
          <w:szCs w:val="28"/>
        </w:rPr>
        <w:t xml:space="preserve"> </w:t>
      </w:r>
      <w:r w:rsidRPr="00DC15AE">
        <w:rPr>
          <w:color w:val="000000"/>
          <w:sz w:val="28"/>
          <w:szCs w:val="28"/>
        </w:rPr>
        <w:t>at that point. That did not happen here.</w:t>
      </w:r>
    </w:p>
    <w:p w:rsidR="0065480D" w:rsidRDefault="0065480D" w:rsidP="0065480D">
      <w:pPr>
        <w:jc w:val="both"/>
        <w:rPr>
          <w:color w:val="000000"/>
          <w:sz w:val="28"/>
          <w:szCs w:val="28"/>
        </w:rPr>
      </w:pPr>
    </w:p>
    <w:p w:rsidR="0065480D" w:rsidRDefault="0065480D" w:rsidP="0065480D">
      <w:pPr>
        <w:spacing w:line="480" w:lineRule="auto"/>
        <w:ind w:firstLine="720"/>
        <w:jc w:val="both"/>
        <w:rPr>
          <w:color w:val="000000"/>
          <w:sz w:val="28"/>
          <w:szCs w:val="28"/>
        </w:rPr>
      </w:pPr>
      <w:r>
        <w:rPr>
          <w:color w:val="000000"/>
          <w:sz w:val="28"/>
          <w:szCs w:val="28"/>
        </w:rPr>
        <w:t xml:space="preserve">In </w:t>
      </w:r>
      <w:r w:rsidRPr="0065480D">
        <w:rPr>
          <w:b/>
          <w:i/>
          <w:color w:val="000000"/>
          <w:sz w:val="28"/>
          <w:szCs w:val="28"/>
        </w:rPr>
        <w:t>R. v. Lee</w:t>
      </w:r>
      <w:r>
        <w:rPr>
          <w:color w:val="000000"/>
          <w:sz w:val="28"/>
          <w:szCs w:val="28"/>
        </w:rPr>
        <w:t>, 2011 BCSC 1581, during the cross-examination of the accused the trial judge said: “</w:t>
      </w:r>
      <w:r w:rsidRPr="0065480D">
        <w:rPr>
          <w:bCs/>
          <w:color w:val="000000"/>
          <w:sz w:val="28"/>
          <w:szCs w:val="28"/>
          <w:lang w:val="en-CA"/>
        </w:rPr>
        <w:t xml:space="preserve">Oh, Mr. Lee, you’re really stretching things here. </w:t>
      </w:r>
      <w:r w:rsidR="004352B6">
        <w:rPr>
          <w:bCs/>
          <w:color w:val="000000"/>
          <w:sz w:val="28"/>
          <w:szCs w:val="28"/>
          <w:lang w:val="en-CA"/>
        </w:rPr>
        <w:t xml:space="preserve"> </w:t>
      </w:r>
      <w:r w:rsidRPr="0065480D">
        <w:rPr>
          <w:bCs/>
          <w:color w:val="000000"/>
          <w:sz w:val="28"/>
          <w:szCs w:val="28"/>
          <w:lang w:val="en-CA"/>
        </w:rPr>
        <w:t>You’re a terrible liar.</w:t>
      </w:r>
      <w:r>
        <w:rPr>
          <w:color w:val="000000"/>
          <w:sz w:val="28"/>
          <w:szCs w:val="28"/>
        </w:rPr>
        <w:t xml:space="preserve">”  On appeal from conviction, it was argued that this comment raised a reasonable apprehension of bias. In rejecting this submission, the appeal court judge concluded </w:t>
      </w:r>
      <w:r w:rsidR="005837BF">
        <w:rPr>
          <w:color w:val="000000"/>
          <w:sz w:val="28"/>
          <w:szCs w:val="28"/>
        </w:rPr>
        <w:t>that the “</w:t>
      </w:r>
      <w:r w:rsidR="005837BF" w:rsidRPr="0065480D">
        <w:rPr>
          <w:sz w:val="28"/>
          <w:szCs w:val="28"/>
        </w:rPr>
        <w:t>intervention was unfortunate</w:t>
      </w:r>
      <w:r w:rsidR="005837BF">
        <w:rPr>
          <w:sz w:val="28"/>
          <w:szCs w:val="28"/>
        </w:rPr>
        <w:t>”</w:t>
      </w:r>
      <w:r w:rsidR="005837BF" w:rsidRPr="0065480D">
        <w:rPr>
          <w:sz w:val="28"/>
          <w:szCs w:val="28"/>
        </w:rPr>
        <w:t xml:space="preserve">, but </w:t>
      </w:r>
      <w:r w:rsidR="005837BF">
        <w:rPr>
          <w:sz w:val="28"/>
          <w:szCs w:val="28"/>
        </w:rPr>
        <w:t>not “</w:t>
      </w:r>
      <w:r w:rsidR="005837BF" w:rsidRPr="0065480D">
        <w:rPr>
          <w:sz w:val="28"/>
          <w:szCs w:val="28"/>
        </w:rPr>
        <w:t>material to the outcome</w:t>
      </w:r>
      <w:r w:rsidR="005837BF">
        <w:rPr>
          <w:sz w:val="28"/>
          <w:szCs w:val="28"/>
        </w:rPr>
        <w:t>”</w:t>
      </w:r>
      <w:r w:rsidR="005837BF">
        <w:rPr>
          <w:color w:val="000000"/>
          <w:sz w:val="28"/>
          <w:szCs w:val="28"/>
        </w:rPr>
        <w:t xml:space="preserve"> </w:t>
      </w:r>
      <w:r>
        <w:rPr>
          <w:color w:val="000000"/>
          <w:sz w:val="28"/>
          <w:szCs w:val="28"/>
        </w:rPr>
        <w:t>(at paragraphs 23 and 24):</w:t>
      </w:r>
    </w:p>
    <w:p w:rsidR="0065480D" w:rsidRPr="0065480D" w:rsidRDefault="0065480D" w:rsidP="0065480D">
      <w:pPr>
        <w:pStyle w:val="SCJNumber"/>
        <w:spacing w:line="240" w:lineRule="auto"/>
        <w:ind w:left="720"/>
        <w:jc w:val="both"/>
        <w:rPr>
          <w:rFonts w:ascii="Times New Roman" w:hAnsi="Times New Roman"/>
          <w:sz w:val="28"/>
          <w:szCs w:val="28"/>
          <w:lang w:val="en-CA"/>
        </w:rPr>
      </w:pPr>
      <w:r w:rsidRPr="0065480D">
        <w:rPr>
          <w:rFonts w:ascii="Times New Roman" w:hAnsi="Times New Roman"/>
          <w:sz w:val="28"/>
          <w:szCs w:val="28"/>
        </w:rPr>
        <w:t xml:space="preserve">The particular circumstances of this case, however, including the timing of the remark, the nature of the evidence that preceded it, and the content of what came after, satisfy me that the judge had heard all the evidence that necessarily contributed to her appreciation of the case by the time the remark was made. As the judge recognized, her intervention was unfortunate, but I do not think that, viewed in context, it was material to the outcome. The judge explained how she came to the conclusion she did, including her assessment of the credibility of the accused relative to that of the complainant. She considered and explained her view of the weight of the inconsistencies </w:t>
      </w:r>
      <w:r w:rsidRPr="0065480D">
        <w:rPr>
          <w:rFonts w:ascii="Times New Roman" w:hAnsi="Times New Roman"/>
          <w:sz w:val="28"/>
          <w:szCs w:val="28"/>
        </w:rPr>
        <w:lastRenderedPageBreak/>
        <w:t xml:space="preserve">in the evidence. Nothing in the case as a whole, including what came after the court intervened, gives rise to a substantive concern about prejudgment. </w:t>
      </w:r>
    </w:p>
    <w:p w:rsidR="0065480D" w:rsidRPr="0065480D" w:rsidRDefault="0065480D" w:rsidP="0065480D">
      <w:pPr>
        <w:pStyle w:val="SCJNumber"/>
        <w:spacing w:line="240" w:lineRule="auto"/>
        <w:ind w:left="720"/>
        <w:jc w:val="both"/>
        <w:rPr>
          <w:rFonts w:ascii="Times New Roman" w:hAnsi="Times New Roman"/>
          <w:sz w:val="28"/>
          <w:szCs w:val="28"/>
          <w:lang w:val="en-CA"/>
        </w:rPr>
      </w:pPr>
      <w:r w:rsidRPr="0065480D">
        <w:rPr>
          <w:rFonts w:ascii="Times New Roman" w:hAnsi="Times New Roman"/>
          <w:sz w:val="28"/>
          <w:szCs w:val="28"/>
        </w:rPr>
        <w:t>I am satisfied that the trial judge heard and weighed the material evidence without actual prejudice or bias. The fact that she reached the conclusion she did before the cross-examination concluded accorded with the weight of the evidence she had heard. The brief evidence yet to come was not of a materially different character. At the point where the intervention occurred, an informed or right thinking person would conclude that the court was impatient with the appellant, not that she was biased. It was a reaction to the evidence, not a pre-emption of it. The judge dealt with her remark appropriately at the outset of her reasons, as in issue of temperament, and not of substance.</w:t>
      </w:r>
    </w:p>
    <w:p w:rsidR="00E038BB" w:rsidRDefault="00E038BB" w:rsidP="00AB0044">
      <w:pPr>
        <w:jc w:val="center"/>
        <w:rPr>
          <w:b/>
          <w:color w:val="000000"/>
          <w:sz w:val="28"/>
          <w:szCs w:val="28"/>
        </w:rPr>
      </w:pPr>
      <w:r>
        <w:rPr>
          <w:b/>
          <w:color w:val="000000"/>
          <w:sz w:val="28"/>
          <w:szCs w:val="28"/>
        </w:rPr>
        <w:t>COMMENTS MADE OUTSIDE OF THE COURTROOM</w:t>
      </w:r>
    </w:p>
    <w:p w:rsidR="00E038BB" w:rsidRDefault="00E038BB" w:rsidP="00161650">
      <w:pPr>
        <w:jc w:val="both"/>
        <w:rPr>
          <w:b/>
          <w:color w:val="000000"/>
          <w:sz w:val="28"/>
          <w:szCs w:val="28"/>
        </w:rPr>
      </w:pPr>
    </w:p>
    <w:p w:rsidR="005837BF" w:rsidRDefault="003A6D22" w:rsidP="00161650">
      <w:pPr>
        <w:spacing w:line="480" w:lineRule="auto"/>
        <w:ind w:firstLine="720"/>
        <w:jc w:val="both"/>
        <w:rPr>
          <w:color w:val="000000"/>
          <w:sz w:val="28"/>
          <w:szCs w:val="28"/>
        </w:rPr>
      </w:pPr>
      <w:r>
        <w:rPr>
          <w:color w:val="000000"/>
          <w:sz w:val="28"/>
          <w:szCs w:val="28"/>
        </w:rPr>
        <w:t xml:space="preserve">The </w:t>
      </w:r>
      <w:r w:rsidRPr="00C70F20">
        <w:rPr>
          <w:i/>
          <w:color w:val="000000"/>
          <w:sz w:val="28"/>
          <w:szCs w:val="28"/>
        </w:rPr>
        <w:t>C.L.Q.</w:t>
      </w:r>
      <w:r>
        <w:rPr>
          <w:color w:val="000000"/>
          <w:sz w:val="28"/>
          <w:szCs w:val="28"/>
        </w:rPr>
        <w:t xml:space="preserve"> paper did not contain a section dealing with extra-judicial comments. These rarely occur, but an example of such occurring can be found in </w:t>
      </w:r>
      <w:r w:rsidR="008C7230" w:rsidRPr="00E038BB">
        <w:rPr>
          <w:b/>
          <w:i/>
          <w:color w:val="000000"/>
          <w:sz w:val="28"/>
          <w:szCs w:val="28"/>
        </w:rPr>
        <w:t>D.P.P. v. Dumbrell</w:t>
      </w:r>
      <w:r w:rsidR="008C7230">
        <w:rPr>
          <w:color w:val="000000"/>
          <w:sz w:val="28"/>
          <w:szCs w:val="28"/>
        </w:rPr>
        <w:t>, [2010] IECCA 84</w:t>
      </w:r>
      <w:r>
        <w:rPr>
          <w:color w:val="000000"/>
          <w:sz w:val="28"/>
          <w:szCs w:val="28"/>
        </w:rPr>
        <w:t xml:space="preserve">.  </w:t>
      </w:r>
    </w:p>
    <w:p w:rsidR="00C26E1E" w:rsidRDefault="003A6D22" w:rsidP="00161650">
      <w:pPr>
        <w:spacing w:line="480" w:lineRule="auto"/>
        <w:ind w:firstLine="720"/>
        <w:jc w:val="both"/>
        <w:rPr>
          <w:color w:val="000000"/>
          <w:sz w:val="28"/>
          <w:szCs w:val="28"/>
        </w:rPr>
      </w:pPr>
      <w:r>
        <w:rPr>
          <w:color w:val="000000"/>
          <w:sz w:val="28"/>
          <w:szCs w:val="28"/>
        </w:rPr>
        <w:t xml:space="preserve">In </w:t>
      </w:r>
      <w:r w:rsidRPr="003A6D22">
        <w:rPr>
          <w:b/>
          <w:i/>
          <w:color w:val="000000"/>
          <w:sz w:val="28"/>
          <w:szCs w:val="28"/>
        </w:rPr>
        <w:t>Dumbrell</w:t>
      </w:r>
      <w:r w:rsidR="008C7230">
        <w:rPr>
          <w:color w:val="000000"/>
          <w:sz w:val="28"/>
          <w:szCs w:val="28"/>
        </w:rPr>
        <w:t xml:space="preserve">, the accused were convicted of murder after a trial by a judge and jury.  </w:t>
      </w:r>
      <w:r w:rsidR="00C26E1E">
        <w:rPr>
          <w:color w:val="000000"/>
          <w:sz w:val="28"/>
          <w:szCs w:val="28"/>
        </w:rPr>
        <w:t xml:space="preserve">The victim died as a result of a stabbing.  During the trial, the trial judge delivered a lecture at a law school on the topic of killings by the use of knives and the lenient sentences imposed by the </w:t>
      </w:r>
      <w:r>
        <w:rPr>
          <w:color w:val="000000"/>
          <w:sz w:val="28"/>
          <w:szCs w:val="28"/>
        </w:rPr>
        <w:t xml:space="preserve">Irish Court of </w:t>
      </w:r>
      <w:r w:rsidR="00C26E1E">
        <w:rPr>
          <w:color w:val="000000"/>
          <w:sz w:val="28"/>
          <w:szCs w:val="28"/>
        </w:rPr>
        <w:t>C</w:t>
      </w:r>
      <w:r>
        <w:rPr>
          <w:color w:val="000000"/>
          <w:sz w:val="28"/>
          <w:szCs w:val="28"/>
        </w:rPr>
        <w:t xml:space="preserve">riminal </w:t>
      </w:r>
      <w:r w:rsidR="00C26E1E">
        <w:rPr>
          <w:color w:val="000000"/>
          <w:sz w:val="28"/>
          <w:szCs w:val="28"/>
        </w:rPr>
        <w:t>of Appeal.  Amongst the things said by the trial judge were the</w:t>
      </w:r>
      <w:r w:rsidR="00CC508B">
        <w:rPr>
          <w:color w:val="000000"/>
          <w:sz w:val="28"/>
          <w:szCs w:val="28"/>
        </w:rPr>
        <w:t xml:space="preserve"> </w:t>
      </w:r>
      <w:r w:rsidR="00C26E1E">
        <w:rPr>
          <w:color w:val="000000"/>
          <w:sz w:val="28"/>
          <w:szCs w:val="28"/>
        </w:rPr>
        <w:t>following:</w:t>
      </w:r>
    </w:p>
    <w:p w:rsidR="00C26E1E" w:rsidRDefault="00C26E1E" w:rsidP="00161650">
      <w:pPr>
        <w:ind w:left="720"/>
        <w:jc w:val="both"/>
        <w:rPr>
          <w:color w:val="000000"/>
          <w:sz w:val="28"/>
          <w:szCs w:val="28"/>
        </w:rPr>
      </w:pPr>
      <w:r w:rsidRPr="00C26E1E">
        <w:rPr>
          <w:iCs/>
          <w:color w:val="000000"/>
          <w:sz w:val="28"/>
          <w:szCs w:val="28"/>
        </w:rPr>
        <w:t>Such cases have increased exponentially in number and in my experience they broadly come about in one of three ways:</w:t>
      </w:r>
      <w:r w:rsidRPr="00C26E1E">
        <w:rPr>
          <w:color w:val="000000"/>
          <w:sz w:val="28"/>
          <w:szCs w:val="28"/>
        </w:rPr>
        <w:t xml:space="preserve"> </w:t>
      </w:r>
    </w:p>
    <w:p w:rsidR="00F2246C" w:rsidRPr="00C26E1E" w:rsidRDefault="00F2246C" w:rsidP="00161650">
      <w:pPr>
        <w:jc w:val="both"/>
        <w:rPr>
          <w:color w:val="000000"/>
          <w:sz w:val="28"/>
          <w:szCs w:val="28"/>
        </w:rPr>
      </w:pPr>
    </w:p>
    <w:p w:rsidR="00F2246C" w:rsidRDefault="00C26E1E" w:rsidP="003A6D22">
      <w:pPr>
        <w:ind w:left="1440"/>
        <w:jc w:val="both"/>
        <w:rPr>
          <w:iCs/>
          <w:color w:val="000000"/>
          <w:sz w:val="28"/>
          <w:szCs w:val="28"/>
        </w:rPr>
      </w:pPr>
      <w:r w:rsidRPr="00C26E1E">
        <w:rPr>
          <w:iCs/>
          <w:color w:val="000000"/>
          <w:sz w:val="28"/>
          <w:szCs w:val="28"/>
        </w:rPr>
        <w:lastRenderedPageBreak/>
        <w:t>1. After what used to be known as the fair fight and is now known as the straightener, the loser goes home to his kitchen drawer and returns to the scene with the bread knife, the carving knife or the vegetable knife.</w:t>
      </w:r>
    </w:p>
    <w:p w:rsidR="00F2246C" w:rsidRDefault="00C26E1E" w:rsidP="003A6D22">
      <w:pPr>
        <w:ind w:left="1440"/>
        <w:jc w:val="both"/>
        <w:rPr>
          <w:iCs/>
          <w:color w:val="000000"/>
          <w:sz w:val="28"/>
          <w:szCs w:val="28"/>
        </w:rPr>
      </w:pPr>
      <w:r w:rsidRPr="00C26E1E">
        <w:rPr>
          <w:color w:val="000000"/>
          <w:sz w:val="28"/>
          <w:szCs w:val="28"/>
        </w:rPr>
        <w:br/>
      </w:r>
      <w:r w:rsidRPr="00C26E1E">
        <w:rPr>
          <w:iCs/>
          <w:color w:val="000000"/>
          <w:sz w:val="28"/>
          <w:szCs w:val="28"/>
        </w:rPr>
        <w:t xml:space="preserve">2. That person who habitually carries a knife allegedly for his own protection uses it, and will often claim that he was merely waiving the knife when the deceased unreasonably impaled himself on it, and </w:t>
      </w:r>
    </w:p>
    <w:p w:rsidR="00C26E1E" w:rsidRDefault="00C26E1E" w:rsidP="003A6D22">
      <w:pPr>
        <w:ind w:left="1440"/>
        <w:jc w:val="both"/>
        <w:rPr>
          <w:iCs/>
          <w:color w:val="000000"/>
          <w:sz w:val="28"/>
          <w:szCs w:val="28"/>
        </w:rPr>
      </w:pPr>
      <w:r w:rsidRPr="00C26E1E">
        <w:rPr>
          <w:color w:val="000000"/>
          <w:sz w:val="28"/>
          <w:szCs w:val="28"/>
        </w:rPr>
        <w:br/>
      </w:r>
      <w:proofErr w:type="gramStart"/>
      <w:r w:rsidRPr="00C26E1E">
        <w:rPr>
          <w:iCs/>
          <w:color w:val="000000"/>
          <w:sz w:val="28"/>
          <w:szCs w:val="28"/>
        </w:rPr>
        <w:t>3. The immigrant community</w:t>
      </w:r>
      <w:proofErr w:type="gramEnd"/>
      <w:r w:rsidRPr="00C26E1E">
        <w:rPr>
          <w:iCs/>
          <w:color w:val="000000"/>
          <w:sz w:val="28"/>
          <w:szCs w:val="28"/>
        </w:rPr>
        <w:t xml:space="preserve"> who do not integrate buy vodka and beer in the off-licence and sit around a table in somebody’s flat drinking it in large quantities. When the row breaks out there is invariably close to hand a knife which has been used in the preparation of the vegetables. </w:t>
      </w:r>
    </w:p>
    <w:p w:rsidR="00C26E1E" w:rsidRPr="00C26E1E" w:rsidRDefault="00C26E1E" w:rsidP="00161650">
      <w:pPr>
        <w:jc w:val="both"/>
        <w:rPr>
          <w:color w:val="000000"/>
          <w:sz w:val="28"/>
          <w:szCs w:val="28"/>
        </w:rPr>
      </w:pPr>
    </w:p>
    <w:p w:rsidR="00C26E1E" w:rsidRDefault="00C26E1E" w:rsidP="00161650">
      <w:pPr>
        <w:ind w:left="720"/>
        <w:jc w:val="both"/>
        <w:rPr>
          <w:iCs/>
          <w:color w:val="000000"/>
          <w:sz w:val="28"/>
          <w:szCs w:val="28"/>
        </w:rPr>
      </w:pPr>
      <w:r w:rsidRPr="00C26E1E">
        <w:rPr>
          <w:iCs/>
          <w:color w:val="000000"/>
          <w:sz w:val="28"/>
          <w:szCs w:val="28"/>
        </w:rPr>
        <w:t>These scenarios must now account for dozens of deaths every year. Fatal stabbings are in fact now out of control. The Registrar of the Central Criminal Court has just informed me that cases coming into the court have doubled overnight and that even after that a steady pattern of growth is projected for the future.</w:t>
      </w:r>
    </w:p>
    <w:p w:rsidR="00C26E1E" w:rsidRPr="00C26E1E" w:rsidRDefault="00C26E1E" w:rsidP="00161650">
      <w:pPr>
        <w:jc w:val="both"/>
        <w:rPr>
          <w:color w:val="000000"/>
          <w:sz w:val="28"/>
          <w:szCs w:val="28"/>
        </w:rPr>
      </w:pPr>
    </w:p>
    <w:p w:rsidR="00E038BB" w:rsidRDefault="00C26E1E" w:rsidP="00161650">
      <w:pPr>
        <w:spacing w:line="480" w:lineRule="auto"/>
        <w:ind w:firstLine="720"/>
        <w:jc w:val="both"/>
        <w:rPr>
          <w:color w:val="000000"/>
          <w:sz w:val="28"/>
          <w:szCs w:val="28"/>
        </w:rPr>
      </w:pPr>
      <w:r>
        <w:rPr>
          <w:color w:val="000000"/>
          <w:sz w:val="28"/>
          <w:szCs w:val="28"/>
        </w:rPr>
        <w:t xml:space="preserve">A request for the jury to be </w:t>
      </w:r>
      <w:r w:rsidR="002305B7">
        <w:rPr>
          <w:color w:val="000000"/>
          <w:sz w:val="28"/>
          <w:szCs w:val="28"/>
        </w:rPr>
        <w:t xml:space="preserve">discharged </w:t>
      </w:r>
      <w:r>
        <w:rPr>
          <w:color w:val="000000"/>
          <w:sz w:val="28"/>
          <w:szCs w:val="28"/>
        </w:rPr>
        <w:t xml:space="preserve">was denied by the trial judge.  </w:t>
      </w:r>
      <w:r w:rsidR="00E038BB">
        <w:rPr>
          <w:color w:val="000000"/>
          <w:sz w:val="28"/>
          <w:szCs w:val="28"/>
        </w:rPr>
        <w:t xml:space="preserve">The </w:t>
      </w:r>
      <w:r>
        <w:rPr>
          <w:color w:val="000000"/>
          <w:sz w:val="28"/>
          <w:szCs w:val="28"/>
        </w:rPr>
        <w:t xml:space="preserve">Irish </w:t>
      </w:r>
      <w:r w:rsidR="00E038BB">
        <w:rPr>
          <w:color w:val="000000"/>
          <w:sz w:val="28"/>
          <w:szCs w:val="28"/>
        </w:rPr>
        <w:t xml:space="preserve">Court of </w:t>
      </w:r>
      <w:r>
        <w:rPr>
          <w:color w:val="000000"/>
          <w:sz w:val="28"/>
          <w:szCs w:val="28"/>
        </w:rPr>
        <w:t xml:space="preserve">Criminal </w:t>
      </w:r>
      <w:r w:rsidR="00E038BB">
        <w:rPr>
          <w:color w:val="000000"/>
          <w:sz w:val="28"/>
          <w:szCs w:val="28"/>
        </w:rPr>
        <w:t>Appeal</w:t>
      </w:r>
      <w:r w:rsidR="00CC508B">
        <w:rPr>
          <w:color w:val="000000"/>
          <w:sz w:val="28"/>
          <w:szCs w:val="28"/>
        </w:rPr>
        <w:t>, however,</w:t>
      </w:r>
      <w:r w:rsidR="00E038BB">
        <w:rPr>
          <w:color w:val="000000"/>
          <w:sz w:val="28"/>
          <w:szCs w:val="28"/>
        </w:rPr>
        <w:t xml:space="preserve"> concluded that a new trial was required</w:t>
      </w:r>
      <w:r w:rsidR="005837BF">
        <w:rPr>
          <w:color w:val="000000"/>
          <w:sz w:val="28"/>
          <w:szCs w:val="28"/>
        </w:rPr>
        <w:t>.  It concluded j</w:t>
      </w:r>
      <w:r w:rsidR="005837BF" w:rsidRPr="00E038BB">
        <w:rPr>
          <w:bCs/>
          <w:sz w:val="28"/>
          <w:szCs w:val="28"/>
        </w:rPr>
        <w:t xml:space="preserve">uries </w:t>
      </w:r>
      <w:r w:rsidR="005837BF">
        <w:rPr>
          <w:bCs/>
          <w:sz w:val="28"/>
          <w:szCs w:val="28"/>
        </w:rPr>
        <w:t>“</w:t>
      </w:r>
      <w:r w:rsidR="005837BF" w:rsidRPr="00E038BB">
        <w:rPr>
          <w:bCs/>
          <w:sz w:val="28"/>
          <w:szCs w:val="28"/>
        </w:rPr>
        <w:t>must be permitted to arrive at their verdict in a criminal trial without influence from extraneous and prejudicial material</w:t>
      </w:r>
      <w:r w:rsidR="005837BF">
        <w:rPr>
          <w:bCs/>
          <w:sz w:val="28"/>
          <w:szCs w:val="28"/>
        </w:rPr>
        <w:t>”</w:t>
      </w:r>
      <w:r w:rsidR="00E038BB">
        <w:rPr>
          <w:color w:val="000000"/>
          <w:sz w:val="28"/>
          <w:szCs w:val="28"/>
        </w:rPr>
        <w:t>:</w:t>
      </w:r>
    </w:p>
    <w:p w:rsidR="00E038BB" w:rsidRDefault="00E038BB" w:rsidP="00161650">
      <w:pPr>
        <w:ind w:left="720"/>
        <w:jc w:val="both"/>
        <w:rPr>
          <w:bCs/>
          <w:sz w:val="28"/>
          <w:szCs w:val="28"/>
        </w:rPr>
      </w:pPr>
      <w:r w:rsidRPr="00E038BB">
        <w:rPr>
          <w:bCs/>
          <w:sz w:val="28"/>
          <w:szCs w:val="28"/>
        </w:rPr>
        <w:t xml:space="preserve">The Court is satisfied that the statements made and as published was material that could prejudice a jury in arriving at a verdict in the circumstances of this case. </w:t>
      </w:r>
    </w:p>
    <w:p w:rsidR="002305B7" w:rsidRPr="00E038BB" w:rsidRDefault="002305B7" w:rsidP="00161650">
      <w:pPr>
        <w:jc w:val="both"/>
        <w:rPr>
          <w:bCs/>
          <w:sz w:val="28"/>
          <w:szCs w:val="28"/>
        </w:rPr>
      </w:pPr>
    </w:p>
    <w:p w:rsidR="00E038BB" w:rsidRDefault="00E038BB" w:rsidP="00161650">
      <w:pPr>
        <w:ind w:left="720"/>
        <w:jc w:val="both"/>
        <w:rPr>
          <w:bCs/>
          <w:sz w:val="28"/>
          <w:szCs w:val="28"/>
        </w:rPr>
      </w:pPr>
      <w:r w:rsidRPr="00E038BB">
        <w:rPr>
          <w:bCs/>
          <w:sz w:val="28"/>
          <w:szCs w:val="28"/>
        </w:rPr>
        <w:t xml:space="preserve">Juries must be permitted to arrive at their verdict in a criminal trial without influence from extraneous and prejudicial material. </w:t>
      </w:r>
      <w:proofErr w:type="gramStart"/>
      <w:r w:rsidRPr="00E038BB">
        <w:rPr>
          <w:bCs/>
          <w:sz w:val="28"/>
          <w:szCs w:val="28"/>
        </w:rPr>
        <w:t>Strong and trenchant statements that manslaughter verdicts allegedly do not result in justice for the victims, their families or society is such prejudicial material.</w:t>
      </w:r>
      <w:proofErr w:type="gramEnd"/>
      <w:r w:rsidRPr="00E038BB">
        <w:rPr>
          <w:bCs/>
          <w:sz w:val="28"/>
          <w:szCs w:val="28"/>
        </w:rPr>
        <w:t xml:space="preserve"> Such strong and far reaching considerations concerning the consequences of a conviction for manslaughter can </w:t>
      </w:r>
      <w:r w:rsidRPr="00E038BB">
        <w:rPr>
          <w:bCs/>
          <w:sz w:val="28"/>
          <w:szCs w:val="28"/>
        </w:rPr>
        <w:lastRenderedPageBreak/>
        <w:t xml:space="preserve">only be considered as having real potential to prejudice a jury which may have to choose between a verdict of manslaughter or a verdict of murder, particularly when those statements although made outside of the trial are made during the trial and bear the authority of the presiding trial judge. Of course such statements could not in law have been introduced in the trial as counsel for the D.P.P. acknowledged at the hearing. However, it was brought to the minds of the jury in a unique, and so far as the Court is aware unprecedented, manner when the learned trial judge himself made such public statements while the trial was ongoing. </w:t>
      </w:r>
    </w:p>
    <w:p w:rsidR="002305B7" w:rsidRPr="00E038BB" w:rsidRDefault="002305B7" w:rsidP="00161650">
      <w:pPr>
        <w:jc w:val="both"/>
        <w:rPr>
          <w:bCs/>
          <w:sz w:val="28"/>
          <w:szCs w:val="28"/>
        </w:rPr>
      </w:pPr>
    </w:p>
    <w:p w:rsidR="00A1333E" w:rsidRDefault="00A1333E" w:rsidP="00AB0044">
      <w:pPr>
        <w:spacing w:line="480" w:lineRule="auto"/>
        <w:jc w:val="center"/>
        <w:rPr>
          <w:b/>
          <w:color w:val="000000"/>
          <w:sz w:val="28"/>
          <w:szCs w:val="28"/>
        </w:rPr>
      </w:pPr>
      <w:r>
        <w:rPr>
          <w:b/>
          <w:color w:val="000000"/>
          <w:sz w:val="28"/>
          <w:szCs w:val="28"/>
        </w:rPr>
        <w:t>PRIOR INVOLVEMENT IN THE CASE</w:t>
      </w:r>
    </w:p>
    <w:p w:rsidR="002B249F" w:rsidRDefault="00016B2A" w:rsidP="00161650">
      <w:pPr>
        <w:spacing w:line="480" w:lineRule="auto"/>
        <w:ind w:firstLine="720"/>
        <w:jc w:val="both"/>
        <w:rPr>
          <w:sz w:val="28"/>
          <w:szCs w:val="28"/>
          <w:lang w:val="en-GB"/>
        </w:rPr>
      </w:pPr>
      <w:r>
        <w:rPr>
          <w:sz w:val="28"/>
          <w:szCs w:val="28"/>
        </w:rPr>
        <w:t xml:space="preserve">In the </w:t>
      </w:r>
      <w:r w:rsidRPr="00F2246C">
        <w:rPr>
          <w:i/>
          <w:sz w:val="28"/>
          <w:szCs w:val="28"/>
        </w:rPr>
        <w:t>C.L.Q.</w:t>
      </w:r>
      <w:r>
        <w:rPr>
          <w:sz w:val="28"/>
          <w:szCs w:val="28"/>
        </w:rPr>
        <w:t xml:space="preserve"> paper, reference was made to how prior involvement in a case </w:t>
      </w:r>
      <w:r w:rsidR="00CC508B">
        <w:rPr>
          <w:sz w:val="28"/>
          <w:szCs w:val="28"/>
        </w:rPr>
        <w:t xml:space="preserve">rarely </w:t>
      </w:r>
      <w:r>
        <w:rPr>
          <w:sz w:val="28"/>
          <w:szCs w:val="28"/>
        </w:rPr>
        <w:t>cause</w:t>
      </w:r>
      <w:r w:rsidR="00CC508B">
        <w:rPr>
          <w:sz w:val="28"/>
          <w:szCs w:val="28"/>
        </w:rPr>
        <w:t>s</w:t>
      </w:r>
      <w:r>
        <w:rPr>
          <w:sz w:val="28"/>
          <w:szCs w:val="28"/>
        </w:rPr>
        <w:t xml:space="preserve"> a reasonable apprehension of bias to arise.  </w:t>
      </w:r>
      <w:r w:rsidR="00A1333E" w:rsidRPr="00A1333E">
        <w:rPr>
          <w:sz w:val="28"/>
          <w:szCs w:val="28"/>
          <w:lang w:val="en-GB"/>
        </w:rPr>
        <w:t xml:space="preserve">In </w:t>
      </w:r>
      <w:r w:rsidR="00A1333E" w:rsidRPr="00016B2A">
        <w:rPr>
          <w:b/>
          <w:i/>
          <w:sz w:val="28"/>
          <w:szCs w:val="28"/>
          <w:lang w:val="en-GB"/>
        </w:rPr>
        <w:t>R. v. Hayes &amp; Lowe</w:t>
      </w:r>
      <w:r w:rsidR="00A1333E" w:rsidRPr="00A1333E">
        <w:rPr>
          <w:sz w:val="28"/>
          <w:szCs w:val="28"/>
          <w:lang w:val="en-GB"/>
        </w:rPr>
        <w:t xml:space="preserve"> </w:t>
      </w:r>
      <w:r w:rsidR="004C5DE6">
        <w:rPr>
          <w:sz w:val="28"/>
          <w:szCs w:val="28"/>
          <w:lang w:val="en-GB"/>
        </w:rPr>
        <w:t>(</w:t>
      </w:r>
      <w:r w:rsidR="00A1333E" w:rsidRPr="00A1333E">
        <w:rPr>
          <w:sz w:val="28"/>
          <w:szCs w:val="28"/>
          <w:lang w:val="en-GB"/>
        </w:rPr>
        <w:t>2009</w:t>
      </w:r>
      <w:r w:rsidR="004C5DE6">
        <w:rPr>
          <w:sz w:val="28"/>
          <w:szCs w:val="28"/>
          <w:lang w:val="en-GB"/>
        </w:rPr>
        <w:t xml:space="preserve">), 288 Nfld. &amp; P.E.I.R. 212 (N.L.S.C.), this </w:t>
      </w:r>
      <w:r w:rsidR="002B249F">
        <w:rPr>
          <w:sz w:val="28"/>
          <w:szCs w:val="28"/>
          <w:lang w:val="en-GB"/>
        </w:rPr>
        <w:t>issue</w:t>
      </w:r>
      <w:r w:rsidR="004C5DE6">
        <w:rPr>
          <w:sz w:val="28"/>
          <w:szCs w:val="28"/>
          <w:lang w:val="en-GB"/>
        </w:rPr>
        <w:t xml:space="preserve"> arose in the context of a guilty </w:t>
      </w:r>
      <w:r w:rsidR="00A616FE">
        <w:rPr>
          <w:sz w:val="28"/>
          <w:szCs w:val="28"/>
          <w:lang w:val="en-GB"/>
        </w:rPr>
        <w:t>plea</w:t>
      </w:r>
      <w:r w:rsidR="004C5DE6">
        <w:rPr>
          <w:sz w:val="28"/>
          <w:szCs w:val="28"/>
          <w:lang w:val="en-GB"/>
        </w:rPr>
        <w:t xml:space="preserve"> being entered by a co-accused.  </w:t>
      </w:r>
    </w:p>
    <w:p w:rsidR="00A1333E" w:rsidRDefault="004C5DE6" w:rsidP="00161650">
      <w:pPr>
        <w:spacing w:line="480" w:lineRule="auto"/>
        <w:ind w:firstLine="720"/>
        <w:jc w:val="both"/>
        <w:rPr>
          <w:sz w:val="28"/>
          <w:szCs w:val="28"/>
          <w:lang w:val="en-GB"/>
        </w:rPr>
      </w:pPr>
      <w:r>
        <w:rPr>
          <w:sz w:val="28"/>
          <w:szCs w:val="28"/>
          <w:lang w:val="en-GB"/>
        </w:rPr>
        <w:t xml:space="preserve">In </w:t>
      </w:r>
      <w:r w:rsidRPr="004C5DE6">
        <w:rPr>
          <w:b/>
          <w:i/>
          <w:sz w:val="28"/>
          <w:szCs w:val="28"/>
          <w:lang w:val="en-GB"/>
        </w:rPr>
        <w:t>Hayes</w:t>
      </w:r>
      <w:r>
        <w:rPr>
          <w:sz w:val="28"/>
          <w:szCs w:val="28"/>
          <w:lang w:val="en-GB"/>
        </w:rPr>
        <w:t xml:space="preserve">, one of </w:t>
      </w:r>
      <w:r w:rsidR="00A616FE">
        <w:rPr>
          <w:sz w:val="28"/>
          <w:szCs w:val="28"/>
          <w:lang w:val="en-GB"/>
        </w:rPr>
        <w:t>two</w:t>
      </w:r>
      <w:r>
        <w:rPr>
          <w:sz w:val="28"/>
          <w:szCs w:val="28"/>
          <w:lang w:val="en-GB"/>
        </w:rPr>
        <w:t xml:space="preserve"> </w:t>
      </w:r>
      <w:r w:rsidR="00A1333E" w:rsidRPr="00A1333E">
        <w:rPr>
          <w:sz w:val="28"/>
          <w:szCs w:val="28"/>
          <w:lang w:val="en-GB"/>
        </w:rPr>
        <w:t xml:space="preserve">accused </w:t>
      </w:r>
      <w:r w:rsidR="002B249F" w:rsidRPr="00A1333E">
        <w:rPr>
          <w:sz w:val="28"/>
          <w:szCs w:val="28"/>
          <w:lang w:val="en-GB"/>
        </w:rPr>
        <w:t>ple</w:t>
      </w:r>
      <w:r w:rsidR="005837BF">
        <w:rPr>
          <w:sz w:val="28"/>
          <w:szCs w:val="28"/>
          <w:lang w:val="en-GB"/>
        </w:rPr>
        <w:t>a</w:t>
      </w:r>
      <w:r w:rsidR="002B249F" w:rsidRPr="00A1333E">
        <w:rPr>
          <w:sz w:val="28"/>
          <w:szCs w:val="28"/>
          <w:lang w:val="en-GB"/>
        </w:rPr>
        <w:t>d</w:t>
      </w:r>
      <w:r w:rsidR="005837BF">
        <w:rPr>
          <w:sz w:val="28"/>
          <w:szCs w:val="28"/>
          <w:lang w:val="en-GB"/>
        </w:rPr>
        <w:t>ed</w:t>
      </w:r>
      <w:r w:rsidR="002B249F" w:rsidRPr="00A1333E">
        <w:rPr>
          <w:sz w:val="28"/>
          <w:szCs w:val="28"/>
          <w:lang w:val="en-GB"/>
        </w:rPr>
        <w:t xml:space="preserve"> guilty </w:t>
      </w:r>
      <w:r w:rsidR="00A1333E" w:rsidRPr="00A1333E">
        <w:rPr>
          <w:sz w:val="28"/>
          <w:szCs w:val="28"/>
          <w:lang w:val="en-GB"/>
        </w:rPr>
        <w:t xml:space="preserve">during </w:t>
      </w:r>
      <w:r w:rsidR="00ED489E">
        <w:rPr>
          <w:sz w:val="28"/>
          <w:szCs w:val="28"/>
          <w:lang w:val="en-GB"/>
        </w:rPr>
        <w:t>the</w:t>
      </w:r>
      <w:r w:rsidR="00A1333E" w:rsidRPr="00A1333E">
        <w:rPr>
          <w:sz w:val="28"/>
          <w:szCs w:val="28"/>
          <w:lang w:val="en-GB"/>
        </w:rPr>
        <w:t xml:space="preserve"> trial.  The agreed statement of facts made reference to the </w:t>
      </w:r>
      <w:r w:rsidR="002B249F">
        <w:rPr>
          <w:sz w:val="28"/>
          <w:szCs w:val="28"/>
          <w:lang w:val="en-GB"/>
        </w:rPr>
        <w:t xml:space="preserve">other </w:t>
      </w:r>
      <w:r w:rsidR="00A1333E" w:rsidRPr="00A1333E">
        <w:rPr>
          <w:sz w:val="28"/>
          <w:szCs w:val="28"/>
          <w:lang w:val="en-GB"/>
        </w:rPr>
        <w:t>co-accused’s involvement in the offence.  After the trial recommenced, th</w:t>
      </w:r>
      <w:r w:rsidR="002B249F">
        <w:rPr>
          <w:sz w:val="28"/>
          <w:szCs w:val="28"/>
          <w:lang w:val="en-GB"/>
        </w:rPr>
        <w:t>is</w:t>
      </w:r>
      <w:r w:rsidR="00A1333E" w:rsidRPr="00A1333E">
        <w:rPr>
          <w:sz w:val="28"/>
          <w:szCs w:val="28"/>
          <w:lang w:val="en-GB"/>
        </w:rPr>
        <w:t xml:space="preserve"> co-accused sought recusal of the trial judge</w:t>
      </w:r>
      <w:r>
        <w:rPr>
          <w:sz w:val="28"/>
          <w:szCs w:val="28"/>
          <w:lang w:val="en-GB"/>
        </w:rPr>
        <w:t xml:space="preserve"> on the basis of the c</w:t>
      </w:r>
      <w:r w:rsidR="00FB0275">
        <w:rPr>
          <w:sz w:val="28"/>
          <w:szCs w:val="28"/>
          <w:lang w:val="en-GB"/>
        </w:rPr>
        <w:t xml:space="preserve">ontents of the </w:t>
      </w:r>
      <w:r>
        <w:rPr>
          <w:sz w:val="28"/>
          <w:szCs w:val="28"/>
          <w:lang w:val="en-GB"/>
        </w:rPr>
        <w:t>statement of facts</w:t>
      </w:r>
      <w:r w:rsidR="00A1333E" w:rsidRPr="00A1333E">
        <w:rPr>
          <w:sz w:val="28"/>
          <w:szCs w:val="28"/>
          <w:lang w:val="en-GB"/>
        </w:rPr>
        <w:t>.  The trial judge granted the motion.</w:t>
      </w:r>
      <w:r w:rsidR="00016B2A">
        <w:rPr>
          <w:sz w:val="28"/>
          <w:szCs w:val="28"/>
          <w:lang w:val="en-GB"/>
        </w:rPr>
        <w:t xml:space="preserve">  He stated</w:t>
      </w:r>
      <w:r>
        <w:rPr>
          <w:sz w:val="28"/>
          <w:szCs w:val="28"/>
          <w:lang w:val="en-GB"/>
        </w:rPr>
        <w:t xml:space="preserve"> </w:t>
      </w:r>
      <w:r w:rsidR="005837BF">
        <w:rPr>
          <w:sz w:val="28"/>
          <w:szCs w:val="28"/>
          <w:lang w:val="en-GB"/>
        </w:rPr>
        <w:t>that “</w:t>
      </w:r>
      <w:r w:rsidR="005837BF" w:rsidRPr="004C5DE6">
        <w:rPr>
          <w:color w:val="000000"/>
          <w:sz w:val="28"/>
          <w:szCs w:val="28"/>
        </w:rPr>
        <w:t>the wise and sensible position would be for me to step down from this case</w:t>
      </w:r>
      <w:r w:rsidR="005837BF">
        <w:rPr>
          <w:color w:val="000000"/>
          <w:sz w:val="28"/>
          <w:szCs w:val="28"/>
        </w:rPr>
        <w:t>”</w:t>
      </w:r>
      <w:r w:rsidR="005837BF">
        <w:rPr>
          <w:sz w:val="28"/>
          <w:szCs w:val="28"/>
          <w:lang w:val="en-GB"/>
        </w:rPr>
        <w:t xml:space="preserve"> </w:t>
      </w:r>
      <w:r>
        <w:rPr>
          <w:sz w:val="28"/>
          <w:szCs w:val="28"/>
          <w:lang w:val="en-GB"/>
        </w:rPr>
        <w:t>(at paragraph 27)</w:t>
      </w:r>
      <w:r w:rsidR="00016B2A">
        <w:rPr>
          <w:sz w:val="28"/>
          <w:szCs w:val="28"/>
          <w:lang w:val="en-GB"/>
        </w:rPr>
        <w:t>:</w:t>
      </w:r>
    </w:p>
    <w:p w:rsidR="004C5DE6" w:rsidRDefault="004C5DE6" w:rsidP="00161650">
      <w:pPr>
        <w:ind w:left="720"/>
        <w:jc w:val="both"/>
        <w:rPr>
          <w:color w:val="000000"/>
          <w:sz w:val="28"/>
          <w:szCs w:val="28"/>
        </w:rPr>
      </w:pPr>
      <w:r w:rsidRPr="004C5DE6">
        <w:rPr>
          <w:color w:val="000000"/>
          <w:sz w:val="28"/>
          <w:szCs w:val="28"/>
        </w:rPr>
        <w:t xml:space="preserve">I believe the wise and sensible position would be for me to step down from this case for all of the above reasons and have another colleague retry the case. I sincerely apologize to both accused for the present situation. Anything that was done in this case was done in what I believed was an appropriate manner. I regret having to step down, but </w:t>
      </w:r>
      <w:r w:rsidRPr="004C5DE6">
        <w:rPr>
          <w:color w:val="000000"/>
          <w:sz w:val="28"/>
          <w:szCs w:val="28"/>
        </w:rPr>
        <w:lastRenderedPageBreak/>
        <w:t>to not step down could be seen as bringing the administration of justice into disrepute.</w:t>
      </w:r>
    </w:p>
    <w:p w:rsidR="004C5DE6" w:rsidRDefault="004C5DE6" w:rsidP="00161650">
      <w:pPr>
        <w:jc w:val="both"/>
        <w:rPr>
          <w:color w:val="000000"/>
          <w:sz w:val="28"/>
          <w:szCs w:val="28"/>
        </w:rPr>
      </w:pPr>
    </w:p>
    <w:p w:rsidR="008F5195" w:rsidRDefault="00A616FE" w:rsidP="00161650">
      <w:pPr>
        <w:spacing w:line="480" w:lineRule="auto"/>
        <w:ind w:firstLine="720"/>
        <w:jc w:val="both"/>
        <w:rPr>
          <w:sz w:val="28"/>
          <w:szCs w:val="28"/>
        </w:rPr>
      </w:pPr>
      <w:r w:rsidRPr="008F5195">
        <w:rPr>
          <w:sz w:val="28"/>
          <w:szCs w:val="28"/>
          <w:lang w:val="en-GB"/>
        </w:rPr>
        <w:t>In</w:t>
      </w:r>
      <w:r w:rsidRPr="00016B2A">
        <w:rPr>
          <w:i/>
          <w:sz w:val="28"/>
          <w:szCs w:val="28"/>
          <w:lang w:val="en-GB"/>
        </w:rPr>
        <w:t xml:space="preserve"> </w:t>
      </w:r>
      <w:r w:rsidRPr="00016B2A">
        <w:rPr>
          <w:b/>
          <w:bCs/>
          <w:i/>
          <w:sz w:val="28"/>
          <w:szCs w:val="28"/>
        </w:rPr>
        <w:t>R. v. Smith</w:t>
      </w:r>
      <w:r w:rsidRPr="00016B2A">
        <w:rPr>
          <w:bCs/>
          <w:sz w:val="28"/>
          <w:szCs w:val="28"/>
        </w:rPr>
        <w:t>, 2009 ABQB 618</w:t>
      </w:r>
      <w:r w:rsidRPr="008F5195">
        <w:rPr>
          <w:sz w:val="28"/>
          <w:szCs w:val="28"/>
          <w:lang w:val="en-GB"/>
        </w:rPr>
        <w:t>, after a</w:t>
      </w:r>
      <w:r w:rsidRPr="008F5195">
        <w:rPr>
          <w:i/>
          <w:sz w:val="28"/>
          <w:szCs w:val="28"/>
          <w:lang w:val="en-GB"/>
        </w:rPr>
        <w:t xml:space="preserve"> voir dire</w:t>
      </w:r>
      <w:r w:rsidRPr="008F5195">
        <w:rPr>
          <w:sz w:val="28"/>
          <w:szCs w:val="28"/>
          <w:lang w:val="en-GB"/>
        </w:rPr>
        <w:t xml:space="preserve"> was conducted, the</w:t>
      </w:r>
      <w:r>
        <w:rPr>
          <w:sz w:val="28"/>
          <w:szCs w:val="28"/>
          <w:lang w:val="en-GB"/>
        </w:rPr>
        <w:t xml:space="preserve"> </w:t>
      </w:r>
      <w:r w:rsidRPr="008F5195">
        <w:rPr>
          <w:sz w:val="28"/>
          <w:szCs w:val="28"/>
          <w:lang w:val="en-GB"/>
        </w:rPr>
        <w:t>trial judge stated: “</w:t>
      </w:r>
      <w:r w:rsidRPr="008F5195">
        <w:rPr>
          <w:sz w:val="28"/>
          <w:szCs w:val="28"/>
        </w:rPr>
        <w:t xml:space="preserve">So on the result, he is found guilty of both charges.”  </w:t>
      </w:r>
      <w:r w:rsidR="008F5195" w:rsidRPr="008F5195">
        <w:rPr>
          <w:sz w:val="28"/>
          <w:szCs w:val="28"/>
        </w:rPr>
        <w:t>The trial continued and the accused was convicted.  On appeal, it was held that the trial judge’s remarks at the end of the</w:t>
      </w:r>
      <w:r w:rsidR="008F5195" w:rsidRPr="008F5195">
        <w:rPr>
          <w:i/>
          <w:sz w:val="28"/>
          <w:szCs w:val="28"/>
        </w:rPr>
        <w:t xml:space="preserve"> voir dire</w:t>
      </w:r>
      <w:r w:rsidR="008F5195" w:rsidRPr="008F5195">
        <w:rPr>
          <w:sz w:val="28"/>
          <w:szCs w:val="28"/>
        </w:rPr>
        <w:t xml:space="preserve"> did not cause a reasonable apprehension of bias to occur</w:t>
      </w:r>
      <w:r w:rsidR="005837BF">
        <w:rPr>
          <w:sz w:val="28"/>
          <w:szCs w:val="28"/>
        </w:rPr>
        <w:t>.  The appeal court judge concluded  that “</w:t>
      </w:r>
      <w:r w:rsidR="005837BF" w:rsidRPr="008F5195">
        <w:rPr>
          <w:sz w:val="28"/>
          <w:szCs w:val="28"/>
        </w:rPr>
        <w:t>rulings in previous unrelated cases, or in a related case or even in the same matter, will not in and by itself be a cause for disqualification</w:t>
      </w:r>
      <w:r w:rsidR="005837BF">
        <w:rPr>
          <w:sz w:val="28"/>
          <w:szCs w:val="28"/>
        </w:rPr>
        <w:t>”</w:t>
      </w:r>
      <w:r w:rsidR="008F5195" w:rsidRPr="008F5195">
        <w:rPr>
          <w:sz w:val="28"/>
          <w:szCs w:val="28"/>
        </w:rPr>
        <w:t xml:space="preserve"> (at paragraph 39):</w:t>
      </w:r>
    </w:p>
    <w:p w:rsidR="008F5195" w:rsidRPr="008F5195" w:rsidRDefault="008F5195" w:rsidP="00161650">
      <w:pPr>
        <w:ind w:left="720"/>
        <w:jc w:val="both"/>
        <w:rPr>
          <w:sz w:val="28"/>
          <w:szCs w:val="28"/>
        </w:rPr>
      </w:pPr>
      <w:r w:rsidRPr="008F5195">
        <w:rPr>
          <w:sz w:val="28"/>
          <w:szCs w:val="28"/>
        </w:rPr>
        <w:t>It does not follow that because the trial judge, having heard all the evidence, prepared to give a merits decision prior to hearing submissions, that his mind was made up and closed. Judges form impressions and come to tentative conclusions throughout a trial. They however remain open to changing those impressions and those tentative conclusions up to the moment that they announce their final</w:t>
      </w:r>
    </w:p>
    <w:p w:rsidR="008F5195" w:rsidRDefault="008F5195" w:rsidP="00161650">
      <w:pPr>
        <w:ind w:left="720"/>
        <w:jc w:val="both"/>
        <w:rPr>
          <w:sz w:val="28"/>
          <w:szCs w:val="28"/>
          <w:lang w:val="en-GB"/>
        </w:rPr>
      </w:pPr>
      <w:proofErr w:type="gramStart"/>
      <w:r w:rsidRPr="008F5195">
        <w:rPr>
          <w:sz w:val="28"/>
          <w:szCs w:val="28"/>
        </w:rPr>
        <w:t>decision</w:t>
      </w:r>
      <w:proofErr w:type="gramEnd"/>
      <w:r w:rsidRPr="008F5195">
        <w:rPr>
          <w:sz w:val="28"/>
          <w:szCs w:val="28"/>
        </w:rPr>
        <w:t>. There is no basis on this record for concluding that the trial judge here did not follow that course. I dismiss this ground of appeal.</w:t>
      </w:r>
    </w:p>
    <w:p w:rsidR="00016B2A" w:rsidRDefault="008F5195" w:rsidP="00161650">
      <w:pPr>
        <w:ind w:left="720"/>
        <w:jc w:val="both"/>
        <w:rPr>
          <w:sz w:val="28"/>
          <w:szCs w:val="28"/>
        </w:rPr>
      </w:pPr>
      <w:r w:rsidRPr="008F5195">
        <w:rPr>
          <w:sz w:val="28"/>
          <w:szCs w:val="28"/>
        </w:rPr>
        <w:t xml:space="preserve">In summary, rulings in previous unrelated cases, or in a related case or even in the same matter, will not in and by itself </w:t>
      </w:r>
      <w:proofErr w:type="gramStart"/>
      <w:r w:rsidRPr="008F5195">
        <w:rPr>
          <w:sz w:val="28"/>
          <w:szCs w:val="28"/>
        </w:rPr>
        <w:t>be</w:t>
      </w:r>
      <w:proofErr w:type="gramEnd"/>
      <w:r w:rsidRPr="008F5195">
        <w:rPr>
          <w:sz w:val="28"/>
          <w:szCs w:val="28"/>
        </w:rPr>
        <w:t xml:space="preserve"> a cause for disqualification.  </w:t>
      </w:r>
    </w:p>
    <w:p w:rsidR="00016B2A" w:rsidRDefault="00016B2A" w:rsidP="00161650">
      <w:pPr>
        <w:jc w:val="both"/>
        <w:rPr>
          <w:sz w:val="28"/>
          <w:szCs w:val="28"/>
        </w:rPr>
      </w:pPr>
    </w:p>
    <w:p w:rsidR="008F5195" w:rsidRDefault="008F5195" w:rsidP="00161650">
      <w:pPr>
        <w:spacing w:line="480" w:lineRule="auto"/>
        <w:ind w:firstLine="720"/>
        <w:jc w:val="both"/>
        <w:rPr>
          <w:iCs/>
          <w:sz w:val="28"/>
          <w:szCs w:val="28"/>
        </w:rPr>
      </w:pPr>
      <w:proofErr w:type="gramStart"/>
      <w:r w:rsidRPr="008F5195">
        <w:rPr>
          <w:iCs/>
          <w:sz w:val="28"/>
          <w:szCs w:val="28"/>
        </w:rPr>
        <w:t>In</w:t>
      </w:r>
      <w:r w:rsidRPr="004C5DE6">
        <w:rPr>
          <w:i/>
          <w:iCs/>
          <w:sz w:val="28"/>
          <w:szCs w:val="28"/>
        </w:rPr>
        <w:t xml:space="preserve"> </w:t>
      </w:r>
      <w:r w:rsidRPr="004C5DE6">
        <w:rPr>
          <w:b/>
          <w:bCs/>
          <w:i/>
          <w:iCs/>
          <w:sz w:val="28"/>
          <w:szCs w:val="28"/>
        </w:rPr>
        <w:t>R. v. J.L.M.A.</w:t>
      </w:r>
      <w:proofErr w:type="gramEnd"/>
      <w:r w:rsidR="004C5DE6">
        <w:rPr>
          <w:b/>
          <w:bCs/>
          <w:i/>
          <w:iCs/>
          <w:sz w:val="28"/>
          <w:szCs w:val="28"/>
        </w:rPr>
        <w:t xml:space="preserve"> </w:t>
      </w:r>
      <w:r w:rsidRPr="008F5195">
        <w:rPr>
          <w:iCs/>
          <w:sz w:val="28"/>
          <w:szCs w:val="28"/>
        </w:rPr>
        <w:t xml:space="preserve"> </w:t>
      </w:r>
      <w:r w:rsidR="004C5DE6">
        <w:rPr>
          <w:bCs/>
          <w:iCs/>
          <w:sz w:val="28"/>
          <w:szCs w:val="28"/>
        </w:rPr>
        <w:t>[</w:t>
      </w:r>
      <w:r w:rsidR="004C5DE6" w:rsidRPr="004C69A2">
        <w:rPr>
          <w:bCs/>
          <w:iCs/>
          <w:sz w:val="28"/>
          <w:szCs w:val="28"/>
        </w:rPr>
        <w:t>2009</w:t>
      </w:r>
      <w:r w:rsidR="004C5DE6">
        <w:rPr>
          <w:bCs/>
          <w:iCs/>
          <w:sz w:val="28"/>
          <w:szCs w:val="28"/>
        </w:rPr>
        <w:t>] A.J. No. 1148</w:t>
      </w:r>
      <w:r w:rsidR="00011ADD">
        <w:rPr>
          <w:bCs/>
          <w:iCs/>
          <w:sz w:val="28"/>
          <w:szCs w:val="28"/>
        </w:rPr>
        <w:t xml:space="preserve"> (C.A.)</w:t>
      </w:r>
      <w:r w:rsidR="004C5DE6">
        <w:rPr>
          <w:bCs/>
          <w:iCs/>
          <w:sz w:val="28"/>
          <w:szCs w:val="28"/>
        </w:rPr>
        <w:t xml:space="preserve">, </w:t>
      </w:r>
      <w:r w:rsidRPr="008F5195">
        <w:rPr>
          <w:iCs/>
          <w:sz w:val="28"/>
          <w:szCs w:val="28"/>
        </w:rPr>
        <w:t xml:space="preserve">it was pointed out, at paragraphs 14 and 15, that “having previously expressed opinions on a relevant question of law does not disqualify a judge for bias...Indeed, a judge is not disqualified even if he or she has expressed or reached previously, in </w:t>
      </w:r>
      <w:r w:rsidRPr="008F5195">
        <w:rPr>
          <w:iCs/>
          <w:sz w:val="28"/>
          <w:szCs w:val="28"/>
        </w:rPr>
        <w:lastRenderedPageBreak/>
        <w:t>the same case, an opinion on a topic which comes up again for decision again</w:t>
      </w:r>
      <w:r w:rsidR="0030287D">
        <w:rPr>
          <w:iCs/>
          <w:sz w:val="28"/>
          <w:szCs w:val="28"/>
        </w:rPr>
        <w:t>.</w:t>
      </w:r>
      <w:r w:rsidRPr="008F5195">
        <w:rPr>
          <w:iCs/>
          <w:sz w:val="28"/>
          <w:szCs w:val="28"/>
        </w:rPr>
        <w:t>”</w:t>
      </w:r>
    </w:p>
    <w:p w:rsidR="009F0CAD" w:rsidRPr="009F0CAD" w:rsidRDefault="009F0CAD" w:rsidP="00161650">
      <w:pPr>
        <w:spacing w:line="480" w:lineRule="auto"/>
        <w:ind w:firstLine="720"/>
        <w:jc w:val="both"/>
        <w:rPr>
          <w:iCs/>
          <w:sz w:val="28"/>
          <w:szCs w:val="28"/>
          <w:lang w:val="en-CA"/>
        </w:rPr>
      </w:pPr>
      <w:r w:rsidRPr="009F0CAD">
        <w:rPr>
          <w:iCs/>
          <w:sz w:val="28"/>
          <w:szCs w:val="28"/>
          <w:lang w:val="en-GB"/>
        </w:rPr>
        <w:t xml:space="preserve">In </w:t>
      </w:r>
      <w:r w:rsidRPr="009F0CAD">
        <w:rPr>
          <w:b/>
          <w:i/>
          <w:iCs/>
          <w:sz w:val="28"/>
          <w:szCs w:val="28"/>
        </w:rPr>
        <w:t>Newfoundland and Labrador (Child and youth Advocate) v. Newfoundland and Labrador (House of Assembly)</w:t>
      </w:r>
      <w:r w:rsidRPr="009F0CAD">
        <w:rPr>
          <w:iCs/>
          <w:sz w:val="28"/>
          <w:szCs w:val="28"/>
        </w:rPr>
        <w:t>, 2009 NLTD 176, t</w:t>
      </w:r>
      <w:r w:rsidRPr="009F0CAD">
        <w:rPr>
          <w:iCs/>
          <w:sz w:val="28"/>
          <w:szCs w:val="28"/>
          <w:lang w:val="en-CA"/>
        </w:rPr>
        <w:t>he Child and Youth Advocate applied to the Court “</w:t>
      </w:r>
      <w:r w:rsidRPr="009F0CAD">
        <w:rPr>
          <w:iCs/>
          <w:sz w:val="28"/>
          <w:szCs w:val="28"/>
        </w:rPr>
        <w:t>for a declaration that, if and when there should be tabled in the provincial legislature a motion calling for her removal from the office of Child and Youth Advocate, she would be entitled to a hearing before the legislature.”</w:t>
      </w:r>
      <w:r w:rsidRPr="009F0CAD">
        <w:rPr>
          <w:iCs/>
          <w:sz w:val="28"/>
          <w:szCs w:val="28"/>
          <w:lang w:val="en-CA"/>
        </w:rPr>
        <w:t xml:space="preserve">  In a preliminary proceeding the following exchange occurred:</w:t>
      </w:r>
    </w:p>
    <w:p w:rsidR="009F0CAD" w:rsidRPr="009F0CAD" w:rsidRDefault="009F0CAD" w:rsidP="00161650">
      <w:pPr>
        <w:spacing w:line="480" w:lineRule="auto"/>
        <w:ind w:firstLine="720"/>
        <w:jc w:val="both"/>
        <w:rPr>
          <w:iCs/>
          <w:sz w:val="28"/>
          <w:szCs w:val="28"/>
        </w:rPr>
      </w:pPr>
      <w:r w:rsidRPr="009F0CAD">
        <w:rPr>
          <w:iCs/>
          <w:sz w:val="28"/>
          <w:szCs w:val="28"/>
        </w:rPr>
        <w:t xml:space="preserve">THE COURT: I’ve gone through the material and </w:t>
      </w:r>
    </w:p>
    <w:p w:rsidR="009F0CAD" w:rsidRPr="009F0CAD" w:rsidRDefault="009F0CAD" w:rsidP="00161650">
      <w:pPr>
        <w:spacing w:line="480" w:lineRule="auto"/>
        <w:ind w:firstLine="720"/>
        <w:jc w:val="both"/>
        <w:rPr>
          <w:iCs/>
          <w:sz w:val="28"/>
          <w:szCs w:val="28"/>
        </w:rPr>
      </w:pPr>
      <w:r w:rsidRPr="009F0CAD">
        <w:rPr>
          <w:iCs/>
          <w:sz w:val="28"/>
          <w:szCs w:val="28"/>
        </w:rPr>
        <w:t>COFFEY, Q.C.: Yes.</w:t>
      </w:r>
    </w:p>
    <w:p w:rsidR="009F0CAD" w:rsidRPr="009F0CAD" w:rsidRDefault="009F0CAD" w:rsidP="00161650">
      <w:pPr>
        <w:spacing w:line="480" w:lineRule="auto"/>
        <w:ind w:left="720"/>
        <w:jc w:val="both"/>
        <w:rPr>
          <w:iCs/>
          <w:sz w:val="28"/>
          <w:szCs w:val="28"/>
        </w:rPr>
      </w:pPr>
      <w:r w:rsidRPr="009F0CAD">
        <w:rPr>
          <w:iCs/>
          <w:sz w:val="28"/>
          <w:szCs w:val="28"/>
        </w:rPr>
        <w:t>THE COURT: - it amazes me what people can find to fight about and what you get at the end.</w:t>
      </w:r>
    </w:p>
    <w:p w:rsidR="009F0CAD" w:rsidRDefault="009F0CAD" w:rsidP="004352B6">
      <w:pPr>
        <w:spacing w:line="480" w:lineRule="auto"/>
        <w:ind w:left="720"/>
        <w:jc w:val="both"/>
        <w:rPr>
          <w:iCs/>
          <w:sz w:val="28"/>
          <w:szCs w:val="28"/>
          <w:lang w:val="en-CA"/>
        </w:rPr>
      </w:pPr>
      <w:r w:rsidRPr="009F0CAD">
        <w:rPr>
          <w:iCs/>
          <w:sz w:val="28"/>
          <w:szCs w:val="28"/>
        </w:rPr>
        <w:t>The C</w:t>
      </w:r>
      <w:r w:rsidRPr="009F0CAD">
        <w:rPr>
          <w:iCs/>
          <w:sz w:val="28"/>
          <w:szCs w:val="28"/>
          <w:lang w:val="en-CA"/>
        </w:rPr>
        <w:t>hild and Youth Advocate asked the judge to recuse himself.</w:t>
      </w:r>
      <w:r w:rsidR="00A82F2A">
        <w:rPr>
          <w:iCs/>
          <w:sz w:val="28"/>
          <w:szCs w:val="28"/>
          <w:lang w:val="en-CA"/>
        </w:rPr>
        <w:t xml:space="preserve">  </w:t>
      </w:r>
      <w:r w:rsidRPr="009F0CAD">
        <w:rPr>
          <w:iCs/>
          <w:sz w:val="28"/>
          <w:szCs w:val="28"/>
          <w:lang w:val="en-CA"/>
        </w:rPr>
        <w:t>The application was dismissed.  The judge concluded as follows:</w:t>
      </w:r>
    </w:p>
    <w:p w:rsidR="009F0CAD" w:rsidRDefault="009F0CAD" w:rsidP="00161650">
      <w:pPr>
        <w:ind w:left="720"/>
        <w:jc w:val="both"/>
        <w:rPr>
          <w:iCs/>
          <w:sz w:val="28"/>
          <w:szCs w:val="28"/>
        </w:rPr>
      </w:pPr>
      <w:r w:rsidRPr="009F0CAD">
        <w:rPr>
          <w:iCs/>
          <w:sz w:val="28"/>
          <w:szCs w:val="28"/>
        </w:rPr>
        <w:t>After considering all of the foregoing in its overall context, after objectively reflecting on “the judicial process and the nature of judging” and after deliberating on the issue thoughtfully, realistically and practically, the fair-minded observer would conclude that the statements relied on by Mr. Coffey fall short of the cogent evidence required to displace the fundamental presumption of judicial impartiality. The case for disqualification has not been established.</w:t>
      </w:r>
    </w:p>
    <w:p w:rsidR="00706E2B" w:rsidRDefault="00706E2B" w:rsidP="00161650">
      <w:pPr>
        <w:jc w:val="both"/>
        <w:rPr>
          <w:iCs/>
          <w:sz w:val="28"/>
          <w:szCs w:val="28"/>
        </w:rPr>
      </w:pPr>
    </w:p>
    <w:p w:rsidR="005837BF" w:rsidRDefault="00706E2B" w:rsidP="00161650">
      <w:pPr>
        <w:spacing w:line="480" w:lineRule="auto"/>
        <w:ind w:firstLine="720"/>
        <w:jc w:val="both"/>
        <w:rPr>
          <w:iCs/>
          <w:sz w:val="28"/>
          <w:szCs w:val="28"/>
          <w:lang w:val="en"/>
        </w:rPr>
      </w:pPr>
      <w:r>
        <w:rPr>
          <w:iCs/>
          <w:sz w:val="28"/>
          <w:szCs w:val="28"/>
        </w:rPr>
        <w:lastRenderedPageBreak/>
        <w:t xml:space="preserve">In </w:t>
      </w:r>
      <w:r w:rsidRPr="00706E2B">
        <w:rPr>
          <w:b/>
          <w:i/>
          <w:iCs/>
          <w:sz w:val="28"/>
          <w:szCs w:val="28"/>
          <w:lang w:val="en"/>
        </w:rPr>
        <w:t>R. v. Moman</w:t>
      </w:r>
      <w:r w:rsidRPr="00706E2B">
        <w:rPr>
          <w:iCs/>
          <w:sz w:val="28"/>
          <w:szCs w:val="28"/>
          <w:lang w:val="en"/>
        </w:rPr>
        <w:t>, 2010 MBQB 178</w:t>
      </w:r>
      <w:r>
        <w:rPr>
          <w:iCs/>
          <w:sz w:val="28"/>
          <w:szCs w:val="28"/>
          <w:lang w:val="en"/>
        </w:rPr>
        <w:t xml:space="preserve">, the accused was convicted of an offence, contrary to the </w:t>
      </w:r>
      <w:r w:rsidRPr="00F2246C">
        <w:rPr>
          <w:i/>
          <w:iCs/>
          <w:sz w:val="28"/>
          <w:szCs w:val="28"/>
          <w:lang w:val="en"/>
        </w:rPr>
        <w:t>Income Tax Act</w:t>
      </w:r>
      <w:r w:rsidRPr="00F2246C">
        <w:rPr>
          <w:iCs/>
          <w:sz w:val="28"/>
          <w:szCs w:val="28"/>
          <w:lang w:val="en"/>
        </w:rPr>
        <w:t>,</w:t>
      </w:r>
      <w:r>
        <w:rPr>
          <w:iCs/>
          <w:sz w:val="28"/>
          <w:szCs w:val="28"/>
          <w:lang w:val="en"/>
        </w:rPr>
        <w:t xml:space="preserve"> RSC 1985.  On appeal, he argued that the trial judge should have recused himself because </w:t>
      </w:r>
      <w:r w:rsidR="004105D8">
        <w:rPr>
          <w:iCs/>
          <w:sz w:val="28"/>
          <w:szCs w:val="28"/>
          <w:lang w:val="en"/>
        </w:rPr>
        <w:t>“</w:t>
      </w:r>
      <w:r w:rsidR="004105D8" w:rsidRPr="004105D8">
        <w:rPr>
          <w:iCs/>
          <w:sz w:val="28"/>
          <w:szCs w:val="28"/>
          <w:lang w:val="en"/>
        </w:rPr>
        <w:t xml:space="preserve">the trial judge had heard a previous matter dealing with the accused and convicted him.  The Appellant’s position is that the connection between the charges for which he was proceeding to trial and the previous convictions, as well as the </w:t>
      </w:r>
      <w:r w:rsidR="00231FC0">
        <w:rPr>
          <w:iCs/>
          <w:sz w:val="28"/>
          <w:szCs w:val="28"/>
          <w:lang w:val="en"/>
        </w:rPr>
        <w:t>c</w:t>
      </w:r>
      <w:r w:rsidR="004105D8" w:rsidRPr="004105D8">
        <w:rPr>
          <w:iCs/>
          <w:sz w:val="28"/>
          <w:szCs w:val="28"/>
          <w:lang w:val="en"/>
        </w:rPr>
        <w:t>omments made by the trial judge in sentencing the accused on the previous charges give rise to a reasonable apprehension of bias.</w:t>
      </w:r>
      <w:r w:rsidR="004105D8">
        <w:rPr>
          <w:iCs/>
          <w:sz w:val="28"/>
          <w:szCs w:val="28"/>
          <w:lang w:val="en"/>
        </w:rPr>
        <w:t>”</w:t>
      </w:r>
      <w:r w:rsidR="007B2AC1">
        <w:rPr>
          <w:iCs/>
          <w:sz w:val="28"/>
          <w:szCs w:val="28"/>
          <w:lang w:val="en"/>
        </w:rPr>
        <w:t xml:space="preserve">  </w:t>
      </w:r>
    </w:p>
    <w:p w:rsidR="00706E2B" w:rsidRDefault="007B2AC1" w:rsidP="00161650">
      <w:pPr>
        <w:spacing w:line="480" w:lineRule="auto"/>
        <w:ind w:firstLine="720"/>
        <w:jc w:val="both"/>
        <w:rPr>
          <w:iCs/>
          <w:sz w:val="28"/>
          <w:szCs w:val="28"/>
          <w:lang w:val="en"/>
        </w:rPr>
      </w:pPr>
      <w:r>
        <w:rPr>
          <w:iCs/>
          <w:sz w:val="28"/>
          <w:szCs w:val="28"/>
          <w:lang w:val="en"/>
        </w:rPr>
        <w:t xml:space="preserve">In dismissing this ground of appeal, the appeal court judge </w:t>
      </w:r>
      <w:r w:rsidR="005837BF">
        <w:rPr>
          <w:iCs/>
          <w:sz w:val="28"/>
          <w:szCs w:val="28"/>
          <w:lang w:val="en"/>
        </w:rPr>
        <w:t>concluded that</w:t>
      </w:r>
      <w:r>
        <w:rPr>
          <w:iCs/>
          <w:sz w:val="28"/>
          <w:szCs w:val="28"/>
          <w:lang w:val="en"/>
        </w:rPr>
        <w:t xml:space="preserve"> </w:t>
      </w:r>
      <w:r w:rsidR="005837BF">
        <w:rPr>
          <w:iCs/>
          <w:sz w:val="28"/>
          <w:szCs w:val="28"/>
          <w:lang w:val="en"/>
        </w:rPr>
        <w:t>“</w:t>
      </w:r>
      <w:r w:rsidR="005837BF" w:rsidRPr="007B2AC1">
        <w:rPr>
          <w:iCs/>
          <w:sz w:val="28"/>
          <w:szCs w:val="28"/>
          <w:lang w:val="en"/>
        </w:rPr>
        <w:t>there is nothing in that commentary to indicate the trial judge has a disposition against the credibility of the accused</w:t>
      </w:r>
      <w:r w:rsidR="005837BF">
        <w:rPr>
          <w:iCs/>
          <w:sz w:val="28"/>
          <w:szCs w:val="28"/>
          <w:lang w:val="en"/>
        </w:rPr>
        <w:t xml:space="preserve">” </w:t>
      </w:r>
      <w:r>
        <w:rPr>
          <w:iCs/>
          <w:sz w:val="28"/>
          <w:szCs w:val="28"/>
          <w:lang w:val="en"/>
        </w:rPr>
        <w:t>(at paragraphs 12 and 13):</w:t>
      </w:r>
    </w:p>
    <w:p w:rsidR="007B2AC1" w:rsidRPr="007B2AC1" w:rsidRDefault="007B2AC1" w:rsidP="00161650">
      <w:pPr>
        <w:ind w:left="720"/>
        <w:jc w:val="both"/>
        <w:rPr>
          <w:iCs/>
          <w:sz w:val="28"/>
          <w:szCs w:val="28"/>
          <w:lang w:val="en"/>
        </w:rPr>
      </w:pPr>
      <w:r w:rsidRPr="007B2AC1">
        <w:rPr>
          <w:iCs/>
          <w:sz w:val="28"/>
          <w:szCs w:val="28"/>
          <w:lang w:val="en"/>
        </w:rPr>
        <w:t xml:space="preserve">On a review of the commentary from the previous proceedings, there is nothing in that commentary to indicate the trial judge has a disposition against the credibility of the accused.  The trial judge is careful to express that she has no way of knowing if the Appellant is avoiding the payment of taxes or not.  </w:t>
      </w:r>
    </w:p>
    <w:p w:rsidR="007B2AC1" w:rsidRPr="007B2AC1" w:rsidRDefault="007B2AC1" w:rsidP="00161650">
      <w:pPr>
        <w:jc w:val="both"/>
        <w:rPr>
          <w:iCs/>
          <w:sz w:val="28"/>
          <w:szCs w:val="28"/>
          <w:lang w:val="en"/>
        </w:rPr>
      </w:pPr>
      <w:r w:rsidRPr="007B2AC1">
        <w:rPr>
          <w:iCs/>
          <w:sz w:val="28"/>
          <w:szCs w:val="28"/>
          <w:lang w:val="en"/>
        </w:rPr>
        <w:t> </w:t>
      </w:r>
    </w:p>
    <w:p w:rsidR="007B2AC1" w:rsidRDefault="007B2AC1" w:rsidP="00161650">
      <w:pPr>
        <w:ind w:left="720"/>
        <w:jc w:val="both"/>
        <w:rPr>
          <w:iCs/>
          <w:sz w:val="28"/>
          <w:szCs w:val="28"/>
          <w:lang w:val="en"/>
        </w:rPr>
      </w:pPr>
      <w:r w:rsidRPr="007B2AC1">
        <w:rPr>
          <w:iCs/>
          <w:sz w:val="28"/>
          <w:szCs w:val="28"/>
          <w:lang w:val="en"/>
        </w:rPr>
        <w:t>During the course of pronouncing sentence in the previous matter, the trial judge did comment on the effect of people failing to file their returns and pay any taxes owed.  I am not satisfied the comments made were such as to lead a reasonable right-minded and properly informed person to view the trial judge’s involvement in the subsequent proceedings as being consciously or unconsciously bias or predisposed against the accused.  Comments by a trial judge in sentencing an accused are often critical of the convicted person’s actions. </w:t>
      </w:r>
    </w:p>
    <w:p w:rsidR="002F21BF" w:rsidRDefault="002F21BF" w:rsidP="00161650">
      <w:pPr>
        <w:jc w:val="both"/>
        <w:rPr>
          <w:iCs/>
          <w:sz w:val="28"/>
          <w:szCs w:val="28"/>
          <w:lang w:val="en"/>
        </w:rPr>
      </w:pPr>
    </w:p>
    <w:p w:rsidR="002F21BF" w:rsidRDefault="002F21BF" w:rsidP="00161650">
      <w:pPr>
        <w:spacing w:line="480" w:lineRule="auto"/>
        <w:jc w:val="both"/>
        <w:rPr>
          <w:iCs/>
          <w:sz w:val="28"/>
          <w:szCs w:val="28"/>
          <w:lang w:val="en"/>
        </w:rPr>
      </w:pPr>
      <w:r>
        <w:rPr>
          <w:iCs/>
          <w:sz w:val="28"/>
          <w:szCs w:val="28"/>
          <w:lang w:val="en"/>
        </w:rPr>
        <w:lastRenderedPageBreak/>
        <w:tab/>
        <w:t xml:space="preserve">In </w:t>
      </w:r>
      <w:r w:rsidR="00D2234B" w:rsidRPr="00D2234B">
        <w:rPr>
          <w:b/>
          <w:i/>
          <w:iCs/>
          <w:sz w:val="28"/>
          <w:szCs w:val="28"/>
          <w:lang w:val="en"/>
        </w:rPr>
        <w:t>R. v.</w:t>
      </w:r>
      <w:r w:rsidR="00D2234B">
        <w:rPr>
          <w:i/>
          <w:iCs/>
          <w:sz w:val="28"/>
          <w:szCs w:val="28"/>
          <w:lang w:val="en"/>
        </w:rPr>
        <w:t xml:space="preserve"> </w:t>
      </w:r>
      <w:r w:rsidR="00A356DF" w:rsidRPr="00A356DF">
        <w:rPr>
          <w:b/>
          <w:i/>
          <w:iCs/>
          <w:sz w:val="28"/>
          <w:szCs w:val="28"/>
          <w:lang w:val="en"/>
        </w:rPr>
        <w:t>P.L.R.L.</w:t>
      </w:r>
      <w:r w:rsidR="00D2234B">
        <w:rPr>
          <w:iCs/>
          <w:sz w:val="28"/>
          <w:szCs w:val="28"/>
          <w:lang w:val="en"/>
        </w:rPr>
        <w:t xml:space="preserve">, 2010 MBOB </w:t>
      </w:r>
      <w:r w:rsidR="00A356DF">
        <w:rPr>
          <w:iCs/>
          <w:sz w:val="28"/>
          <w:szCs w:val="28"/>
          <w:lang w:val="en"/>
        </w:rPr>
        <w:t>220</w:t>
      </w:r>
      <w:r w:rsidR="00D2234B">
        <w:rPr>
          <w:iCs/>
          <w:sz w:val="28"/>
          <w:szCs w:val="28"/>
          <w:lang w:val="en"/>
        </w:rPr>
        <w:t xml:space="preserve">, </w:t>
      </w:r>
      <w:r>
        <w:rPr>
          <w:iCs/>
          <w:sz w:val="28"/>
          <w:szCs w:val="28"/>
          <w:lang w:val="en"/>
        </w:rPr>
        <w:t>it was noted, at paragraph 15, that “t</w:t>
      </w:r>
      <w:r w:rsidRPr="002F21BF">
        <w:rPr>
          <w:iCs/>
          <w:sz w:val="28"/>
          <w:szCs w:val="28"/>
          <w:lang w:val="en"/>
        </w:rPr>
        <w:t>he case law has clearly indicated that even in those situations where a judge has previously convicted an accused, a reasonable apprehension of bias does not exist when the same judge hears a subsequent trial</w:t>
      </w:r>
      <w:r>
        <w:rPr>
          <w:iCs/>
          <w:sz w:val="28"/>
          <w:szCs w:val="28"/>
          <w:lang w:val="en"/>
        </w:rPr>
        <w:t>.”</w:t>
      </w:r>
    </w:p>
    <w:p w:rsidR="00E0467A" w:rsidRDefault="00E0467A" w:rsidP="00161650">
      <w:pPr>
        <w:spacing w:line="480" w:lineRule="auto"/>
        <w:ind w:firstLine="720"/>
        <w:jc w:val="both"/>
        <w:rPr>
          <w:iCs/>
          <w:sz w:val="28"/>
          <w:szCs w:val="28"/>
          <w:lang w:val="en"/>
        </w:rPr>
      </w:pPr>
      <w:r>
        <w:rPr>
          <w:iCs/>
          <w:sz w:val="28"/>
          <w:szCs w:val="28"/>
          <w:lang w:val="en"/>
        </w:rPr>
        <w:t xml:space="preserve">In </w:t>
      </w:r>
      <w:r w:rsidR="00D11D78" w:rsidRPr="00367731">
        <w:rPr>
          <w:b/>
          <w:bCs/>
          <w:i/>
          <w:sz w:val="28"/>
          <w:szCs w:val="28"/>
          <w:lang w:val="en"/>
        </w:rPr>
        <w:t>R. v. Rathgeber</w:t>
      </w:r>
      <w:r w:rsidR="00D11D78" w:rsidRPr="00367731">
        <w:rPr>
          <w:bCs/>
          <w:sz w:val="28"/>
          <w:szCs w:val="28"/>
          <w:lang w:val="en"/>
        </w:rPr>
        <w:t>, 2010 SKCA 58</w:t>
      </w:r>
      <w:r w:rsidR="00D11D78">
        <w:rPr>
          <w:bCs/>
          <w:sz w:val="28"/>
          <w:szCs w:val="28"/>
          <w:lang w:val="en"/>
        </w:rPr>
        <w:t>, the issue of apprehension of bias was raised in the context of the trial judge being aware of the accused’s criminal record.  The Saskatchewan Court of Appeal concluded that this would not disqualify the judge from hearing the case</w:t>
      </w:r>
      <w:r w:rsidR="005837BF">
        <w:rPr>
          <w:bCs/>
          <w:sz w:val="28"/>
          <w:szCs w:val="28"/>
          <w:lang w:val="en"/>
        </w:rPr>
        <w:t xml:space="preserve"> because i</w:t>
      </w:r>
      <w:r w:rsidR="005837BF" w:rsidRPr="00367731">
        <w:rPr>
          <w:sz w:val="28"/>
          <w:szCs w:val="28"/>
          <w:lang w:val="en"/>
        </w:rPr>
        <w:t xml:space="preserve">t </w:t>
      </w:r>
      <w:r w:rsidR="005837BF">
        <w:rPr>
          <w:sz w:val="28"/>
          <w:szCs w:val="28"/>
          <w:lang w:val="en"/>
        </w:rPr>
        <w:t>“</w:t>
      </w:r>
      <w:r w:rsidR="005837BF" w:rsidRPr="00367731">
        <w:rPr>
          <w:sz w:val="28"/>
          <w:szCs w:val="28"/>
          <w:lang w:val="en"/>
        </w:rPr>
        <w:t>is inevitable that accused persons will appear before judges who know of their criminal histories</w:t>
      </w:r>
      <w:r w:rsidR="005837BF">
        <w:rPr>
          <w:sz w:val="28"/>
          <w:szCs w:val="28"/>
          <w:lang w:val="en"/>
        </w:rPr>
        <w:t>”</w:t>
      </w:r>
      <w:r w:rsidR="00D11D78">
        <w:rPr>
          <w:bCs/>
          <w:sz w:val="28"/>
          <w:szCs w:val="28"/>
          <w:lang w:val="en"/>
        </w:rPr>
        <w:t>:</w:t>
      </w:r>
    </w:p>
    <w:p w:rsidR="00E0467A" w:rsidRDefault="00E0467A" w:rsidP="00161650">
      <w:pPr>
        <w:ind w:left="720"/>
        <w:jc w:val="both"/>
        <w:rPr>
          <w:sz w:val="28"/>
          <w:szCs w:val="28"/>
          <w:lang w:val="en"/>
        </w:rPr>
      </w:pPr>
      <w:r w:rsidRPr="00367731">
        <w:rPr>
          <w:sz w:val="28"/>
          <w:szCs w:val="28"/>
          <w:lang w:val="en"/>
        </w:rPr>
        <w:t xml:space="preserve">It is inevitable that accused persons will appear before judges who know of their criminal histories.  The community rightly trusts that such information will play no part in judicial decision making.  Accordingly, at least in the normal course, mere knowledge of an accused’s criminal record does not automatically disqualify a judge from presiding at a trial.  See: </w:t>
      </w:r>
      <w:r w:rsidRPr="00367731">
        <w:rPr>
          <w:i/>
          <w:iCs/>
          <w:sz w:val="28"/>
          <w:szCs w:val="28"/>
          <w:lang w:val="en"/>
        </w:rPr>
        <w:t>R. v. Moosomin,</w:t>
      </w:r>
      <w:r w:rsidRPr="00367731">
        <w:rPr>
          <w:sz w:val="28"/>
          <w:szCs w:val="28"/>
          <w:lang w:val="en"/>
        </w:rPr>
        <w:t xml:space="preserve"> </w:t>
      </w:r>
      <w:bookmarkStart w:id="12" w:name="reflex-caselaw-55703465"/>
      <w:r w:rsidRPr="00367731">
        <w:rPr>
          <w:sz w:val="28"/>
          <w:szCs w:val="28"/>
          <w:lang w:val="en"/>
        </w:rPr>
        <w:fldChar w:fldCharType="begin"/>
      </w:r>
      <w:r w:rsidRPr="00367731">
        <w:rPr>
          <w:sz w:val="28"/>
          <w:szCs w:val="28"/>
          <w:lang w:val="en"/>
        </w:rPr>
        <w:instrText xml:space="preserve"> HYPERLINK "http://canlii.org/en/sk/skca/doc/2008/2008skca168/2008skca168.html" </w:instrText>
      </w:r>
      <w:r w:rsidRPr="00367731">
        <w:rPr>
          <w:sz w:val="28"/>
          <w:szCs w:val="28"/>
          <w:lang w:val="en"/>
        </w:rPr>
        <w:fldChar w:fldCharType="separate"/>
      </w:r>
      <w:r w:rsidRPr="00367731">
        <w:rPr>
          <w:rStyle w:val="Hyperlink"/>
          <w:rFonts w:ascii="Times New Roman" w:hAnsi="Times New Roman"/>
          <w:color w:val="auto"/>
          <w:sz w:val="28"/>
          <w:szCs w:val="28"/>
          <w:lang w:val="en"/>
        </w:rPr>
        <w:t>2008 SKCA 168 (CanLII)</w:t>
      </w:r>
      <w:r w:rsidRPr="00367731">
        <w:rPr>
          <w:sz w:val="28"/>
          <w:szCs w:val="28"/>
          <w:lang w:val="en-CA"/>
        </w:rPr>
        <w:fldChar w:fldCharType="end"/>
      </w:r>
      <w:bookmarkEnd w:id="12"/>
      <w:r w:rsidRPr="00367731">
        <w:rPr>
          <w:sz w:val="28"/>
          <w:szCs w:val="28"/>
          <w:lang w:val="en"/>
        </w:rPr>
        <w:t xml:space="preserve">, 2008 SKCA 168, 239 C.C.C. (3d) 326 at paras. </w:t>
      </w:r>
      <w:proofErr w:type="gramStart"/>
      <w:r w:rsidRPr="00367731">
        <w:rPr>
          <w:sz w:val="28"/>
          <w:szCs w:val="28"/>
          <w:lang w:val="en"/>
        </w:rPr>
        <w:t xml:space="preserve">16-20; </w:t>
      </w:r>
      <w:r w:rsidRPr="00367731">
        <w:rPr>
          <w:i/>
          <w:iCs/>
          <w:sz w:val="28"/>
          <w:szCs w:val="28"/>
          <w:lang w:val="en"/>
        </w:rPr>
        <w:t>R. v. J. (D.B.)</w:t>
      </w:r>
      <w:r w:rsidRPr="00367731">
        <w:rPr>
          <w:sz w:val="28"/>
          <w:szCs w:val="28"/>
          <w:lang w:val="en"/>
        </w:rPr>
        <w:t xml:space="preserve">, </w:t>
      </w:r>
      <w:bookmarkStart w:id="13" w:name="reflex-caselaw-55703467"/>
      <w:r w:rsidRPr="00367731">
        <w:rPr>
          <w:sz w:val="28"/>
          <w:szCs w:val="28"/>
          <w:lang w:val="en"/>
        </w:rPr>
        <w:fldChar w:fldCharType="begin"/>
      </w:r>
      <w:r w:rsidRPr="00367731">
        <w:rPr>
          <w:sz w:val="28"/>
          <w:szCs w:val="28"/>
          <w:lang w:val="en"/>
        </w:rPr>
        <w:instrText xml:space="preserve"> HYPERLINK "http://canlii.org/en/bc/bcca/doc/2000/2000bcca616/2000bcca616.html" </w:instrText>
      </w:r>
      <w:r w:rsidRPr="00367731">
        <w:rPr>
          <w:sz w:val="28"/>
          <w:szCs w:val="28"/>
          <w:lang w:val="en"/>
        </w:rPr>
        <w:fldChar w:fldCharType="separate"/>
      </w:r>
      <w:r w:rsidRPr="00367731">
        <w:rPr>
          <w:rStyle w:val="Hyperlink"/>
          <w:rFonts w:ascii="Times New Roman" w:hAnsi="Times New Roman"/>
          <w:color w:val="auto"/>
          <w:sz w:val="28"/>
          <w:szCs w:val="28"/>
          <w:lang w:val="en"/>
        </w:rPr>
        <w:t>2000 BCCA 616 (CanLII)</w:t>
      </w:r>
      <w:r w:rsidRPr="00367731">
        <w:rPr>
          <w:sz w:val="28"/>
          <w:szCs w:val="28"/>
          <w:lang w:val="en-CA"/>
        </w:rPr>
        <w:fldChar w:fldCharType="end"/>
      </w:r>
      <w:bookmarkEnd w:id="13"/>
      <w:r w:rsidRPr="00367731">
        <w:rPr>
          <w:sz w:val="28"/>
          <w:szCs w:val="28"/>
          <w:lang w:val="en"/>
        </w:rPr>
        <w:t>, 2000 BCCA 616, 149 C.C.C. (3d) 534 at para.</w:t>
      </w:r>
      <w:proofErr w:type="gramEnd"/>
      <w:r w:rsidRPr="00367731">
        <w:rPr>
          <w:sz w:val="28"/>
          <w:szCs w:val="28"/>
          <w:lang w:val="en"/>
        </w:rPr>
        <w:t xml:space="preserve"> </w:t>
      </w:r>
      <w:proofErr w:type="gramStart"/>
      <w:r w:rsidRPr="00367731">
        <w:rPr>
          <w:sz w:val="28"/>
          <w:szCs w:val="28"/>
          <w:lang w:val="en"/>
        </w:rPr>
        <w:t xml:space="preserve">19; </w:t>
      </w:r>
      <w:r w:rsidRPr="00367731">
        <w:rPr>
          <w:i/>
          <w:iCs/>
          <w:sz w:val="28"/>
          <w:szCs w:val="28"/>
          <w:lang w:val="en"/>
        </w:rPr>
        <w:t>R. v. Dorscheid</w:t>
      </w:r>
      <w:r w:rsidRPr="00367731">
        <w:rPr>
          <w:sz w:val="28"/>
          <w:szCs w:val="28"/>
          <w:lang w:val="en"/>
        </w:rPr>
        <w:t xml:space="preserve"> </w:t>
      </w:r>
      <w:bookmarkStart w:id="14" w:name="reflex-caselaw-55703470"/>
      <w:bookmarkEnd w:id="14"/>
      <w:r w:rsidRPr="00367731">
        <w:rPr>
          <w:sz w:val="28"/>
          <w:szCs w:val="28"/>
          <w:lang w:val="en"/>
        </w:rPr>
        <w:t xml:space="preserve">(1991), 116 A.R. 79 (Alta. </w:t>
      </w:r>
      <w:smartTag w:uri="urn:schemas-microsoft-com:office:smarttags" w:element="place">
        <w:smartTag w:uri="urn:schemas-microsoft-com:office:smarttags" w:element="country-region">
          <w:r w:rsidRPr="00367731">
            <w:rPr>
              <w:sz w:val="28"/>
              <w:szCs w:val="28"/>
              <w:lang w:val="en"/>
            </w:rPr>
            <w:t>C.A.</w:t>
          </w:r>
        </w:smartTag>
      </w:smartTag>
      <w:r w:rsidRPr="00367731">
        <w:rPr>
          <w:sz w:val="28"/>
          <w:szCs w:val="28"/>
          <w:lang w:val="en"/>
        </w:rPr>
        <w:t>).</w:t>
      </w:r>
      <w:proofErr w:type="gramEnd"/>
    </w:p>
    <w:p w:rsidR="00CC508B" w:rsidRDefault="00CC508B" w:rsidP="00CC508B">
      <w:pPr>
        <w:jc w:val="both"/>
        <w:rPr>
          <w:sz w:val="28"/>
          <w:szCs w:val="28"/>
          <w:lang w:val="en"/>
        </w:rPr>
      </w:pPr>
    </w:p>
    <w:p w:rsidR="00CC508B" w:rsidRDefault="00CC508B" w:rsidP="00742FFD">
      <w:pPr>
        <w:spacing w:line="480" w:lineRule="auto"/>
        <w:jc w:val="both"/>
        <w:rPr>
          <w:sz w:val="28"/>
          <w:szCs w:val="28"/>
          <w:lang w:val="en"/>
        </w:rPr>
      </w:pPr>
      <w:r>
        <w:rPr>
          <w:sz w:val="28"/>
          <w:szCs w:val="28"/>
          <w:lang w:val="en"/>
        </w:rPr>
        <w:tab/>
        <w:t xml:space="preserve">These </w:t>
      </w:r>
      <w:r w:rsidR="009C5740">
        <w:rPr>
          <w:sz w:val="28"/>
          <w:szCs w:val="28"/>
          <w:lang w:val="en"/>
        </w:rPr>
        <w:t>decisions</w:t>
      </w:r>
      <w:r>
        <w:rPr>
          <w:sz w:val="28"/>
          <w:szCs w:val="28"/>
          <w:lang w:val="en"/>
        </w:rPr>
        <w:t xml:space="preserve"> follow a long line of precedent which has </w:t>
      </w:r>
      <w:r w:rsidR="00742FFD">
        <w:rPr>
          <w:sz w:val="28"/>
          <w:szCs w:val="28"/>
          <w:lang w:val="en"/>
        </w:rPr>
        <w:t>consistently</w:t>
      </w:r>
      <w:r>
        <w:rPr>
          <w:sz w:val="28"/>
          <w:szCs w:val="28"/>
          <w:lang w:val="en"/>
        </w:rPr>
        <w:t xml:space="preserve"> </w:t>
      </w:r>
      <w:r w:rsidR="00742FFD">
        <w:rPr>
          <w:sz w:val="28"/>
          <w:szCs w:val="28"/>
          <w:lang w:val="en"/>
        </w:rPr>
        <w:t>held that</w:t>
      </w:r>
      <w:r>
        <w:rPr>
          <w:sz w:val="28"/>
          <w:szCs w:val="28"/>
          <w:lang w:val="en"/>
        </w:rPr>
        <w:t xml:space="preserve"> </w:t>
      </w:r>
      <w:r w:rsidR="00742FFD">
        <w:rPr>
          <w:sz w:val="28"/>
          <w:szCs w:val="28"/>
          <w:lang w:val="en"/>
        </w:rPr>
        <w:t xml:space="preserve">prior involvement in a case rarely requires recusal.  For instance, conducting a judicial interim release hearing and then a trial for the same accused person does not raise a reasonable apprehension of bias. The hearings have distinct evidentiary foundations and legal considerations.  </w:t>
      </w:r>
      <w:r w:rsidR="00742FFD">
        <w:rPr>
          <w:sz w:val="28"/>
          <w:szCs w:val="28"/>
          <w:lang w:val="en"/>
        </w:rPr>
        <w:lastRenderedPageBreak/>
        <w:t>There is a presumption that a trial judge will carry out her or his “oath of office” (see</w:t>
      </w:r>
      <w:r w:rsidR="00C133A9">
        <w:rPr>
          <w:sz w:val="28"/>
          <w:szCs w:val="28"/>
          <w:lang w:val="en"/>
        </w:rPr>
        <w:t xml:space="preserve"> </w:t>
      </w:r>
      <w:r w:rsidR="00C133A9" w:rsidRPr="00C133A9">
        <w:rPr>
          <w:b/>
          <w:i/>
          <w:sz w:val="28"/>
          <w:szCs w:val="28"/>
          <w:lang w:val="en"/>
        </w:rPr>
        <w:t>R. v. S</w:t>
      </w:r>
      <w:proofErr w:type="gramStart"/>
      <w:r w:rsidR="00C133A9" w:rsidRPr="00C133A9">
        <w:rPr>
          <w:b/>
          <w:i/>
          <w:sz w:val="28"/>
          <w:szCs w:val="28"/>
          <w:lang w:val="en"/>
        </w:rPr>
        <w:t>.(</w:t>
      </w:r>
      <w:proofErr w:type="gramEnd"/>
      <w:r w:rsidR="00C133A9" w:rsidRPr="00C133A9">
        <w:rPr>
          <w:b/>
          <w:i/>
          <w:sz w:val="28"/>
          <w:szCs w:val="28"/>
          <w:lang w:val="en"/>
        </w:rPr>
        <w:t>R.D.)</w:t>
      </w:r>
      <w:r w:rsidR="00C133A9">
        <w:rPr>
          <w:sz w:val="28"/>
          <w:szCs w:val="28"/>
          <w:lang w:val="en"/>
        </w:rPr>
        <w:t>, [1997] 3 S.C.R. 484</w:t>
      </w:r>
      <w:r w:rsidR="00742FFD">
        <w:rPr>
          <w:sz w:val="28"/>
          <w:szCs w:val="28"/>
          <w:lang w:val="en"/>
        </w:rPr>
        <w:t xml:space="preserve">). </w:t>
      </w:r>
      <w:r w:rsidR="00AC5523">
        <w:rPr>
          <w:sz w:val="28"/>
          <w:szCs w:val="28"/>
          <w:lang w:val="en"/>
        </w:rPr>
        <w:t xml:space="preserve"> </w:t>
      </w:r>
      <w:r w:rsidR="00742FFD">
        <w:rPr>
          <w:sz w:val="28"/>
          <w:szCs w:val="28"/>
          <w:lang w:val="en"/>
        </w:rPr>
        <w:t>Judicial bias involves a consideration of whether a judge has illustrated a “predisposition to decide an issue material to the proceedings such that his or her mind is closed or at least strongly resistant to persuasion to the contrary view based on the evidence adduced and submissions made in a specific case” (see</w:t>
      </w:r>
      <w:r w:rsidR="00C133A9">
        <w:rPr>
          <w:sz w:val="28"/>
          <w:szCs w:val="28"/>
          <w:lang w:val="en"/>
        </w:rPr>
        <w:t xml:space="preserve"> </w:t>
      </w:r>
      <w:r w:rsidR="00C133A9" w:rsidRPr="00C133A9">
        <w:rPr>
          <w:b/>
          <w:i/>
          <w:sz w:val="28"/>
          <w:szCs w:val="28"/>
          <w:lang w:val="en"/>
        </w:rPr>
        <w:t>Pearl v. Peel Regional Police Services Board</w:t>
      </w:r>
      <w:r w:rsidR="00C133A9">
        <w:rPr>
          <w:sz w:val="28"/>
          <w:szCs w:val="28"/>
          <w:lang w:val="en"/>
        </w:rPr>
        <w:t xml:space="preserve"> (2006), 43 C.R. (</w:t>
      </w:r>
      <w:proofErr w:type="gramStart"/>
      <w:r w:rsidR="00C133A9">
        <w:rPr>
          <w:sz w:val="28"/>
          <w:szCs w:val="28"/>
          <w:lang w:val="en"/>
        </w:rPr>
        <w:t>6</w:t>
      </w:r>
      <w:r w:rsidR="00C133A9" w:rsidRPr="00C133A9">
        <w:rPr>
          <w:sz w:val="28"/>
          <w:szCs w:val="28"/>
          <w:vertAlign w:val="superscript"/>
          <w:lang w:val="en"/>
        </w:rPr>
        <w:t>th</w:t>
      </w:r>
      <w:r w:rsidR="00C133A9">
        <w:rPr>
          <w:sz w:val="28"/>
          <w:szCs w:val="28"/>
          <w:lang w:val="en"/>
        </w:rPr>
        <w:t xml:space="preserve"> )</w:t>
      </w:r>
      <w:proofErr w:type="gramEnd"/>
      <w:r w:rsidR="00C133A9">
        <w:rPr>
          <w:sz w:val="28"/>
          <w:szCs w:val="28"/>
          <w:lang w:val="en"/>
        </w:rPr>
        <w:t xml:space="preserve"> 175 (Ont. C.A.)</w:t>
      </w:r>
      <w:r w:rsidR="00742FFD">
        <w:rPr>
          <w:sz w:val="28"/>
          <w:szCs w:val="28"/>
          <w:lang w:val="en"/>
        </w:rPr>
        <w:t xml:space="preserve">).  Obviously, when we recuse ourselves we are saying that a reasonable person would conclude that we cannot be true to our oath and that we have made up our mind before the case has commenced.  This would appear to be a conclusion we </w:t>
      </w:r>
      <w:r w:rsidR="009C5740">
        <w:rPr>
          <w:sz w:val="28"/>
          <w:szCs w:val="28"/>
          <w:lang w:val="en"/>
        </w:rPr>
        <w:t>c</w:t>
      </w:r>
      <w:r w:rsidR="00742FFD">
        <w:rPr>
          <w:sz w:val="28"/>
          <w:szCs w:val="28"/>
          <w:lang w:val="en"/>
        </w:rPr>
        <w:t xml:space="preserve">ould rarely arrive at.  </w:t>
      </w:r>
      <w:r>
        <w:rPr>
          <w:sz w:val="28"/>
          <w:szCs w:val="28"/>
          <w:lang w:val="en"/>
        </w:rPr>
        <w:t xml:space="preserve"> </w:t>
      </w:r>
    </w:p>
    <w:p w:rsidR="001619D3" w:rsidRDefault="001619D3" w:rsidP="001619D3">
      <w:pPr>
        <w:spacing w:line="480" w:lineRule="auto"/>
        <w:jc w:val="center"/>
        <w:rPr>
          <w:b/>
          <w:sz w:val="28"/>
          <w:szCs w:val="28"/>
          <w:lang w:val="en"/>
        </w:rPr>
      </w:pPr>
      <w:r w:rsidRPr="001619D3">
        <w:rPr>
          <w:b/>
          <w:sz w:val="28"/>
          <w:szCs w:val="28"/>
          <w:lang w:val="en"/>
        </w:rPr>
        <w:t>RE-OPENING A TRIAL</w:t>
      </w:r>
    </w:p>
    <w:p w:rsidR="001619D3" w:rsidRPr="0059526F" w:rsidRDefault="001619D3" w:rsidP="001619D3">
      <w:pPr>
        <w:autoSpaceDE w:val="0"/>
        <w:autoSpaceDN w:val="0"/>
        <w:adjustRightInd w:val="0"/>
        <w:spacing w:line="480" w:lineRule="auto"/>
        <w:jc w:val="both"/>
        <w:rPr>
          <w:sz w:val="28"/>
          <w:szCs w:val="28"/>
        </w:rPr>
      </w:pPr>
      <w:r>
        <w:rPr>
          <w:b/>
          <w:sz w:val="28"/>
          <w:szCs w:val="28"/>
          <w:lang w:val="en"/>
        </w:rPr>
        <w:tab/>
      </w:r>
      <w:r w:rsidRPr="001619D3">
        <w:rPr>
          <w:sz w:val="28"/>
          <w:szCs w:val="28"/>
          <w:lang w:val="en"/>
        </w:rPr>
        <w:t xml:space="preserve">In </w:t>
      </w:r>
      <w:r w:rsidRPr="001619D3">
        <w:rPr>
          <w:b/>
          <w:i/>
          <w:sz w:val="28"/>
          <w:szCs w:val="28"/>
        </w:rPr>
        <w:t>R. v. Katzenback</w:t>
      </w:r>
      <w:r>
        <w:rPr>
          <w:b/>
          <w:sz w:val="28"/>
          <w:szCs w:val="28"/>
        </w:rPr>
        <w:t>,</w:t>
      </w:r>
      <w:r w:rsidRPr="001619D3">
        <w:rPr>
          <w:sz w:val="28"/>
          <w:szCs w:val="28"/>
        </w:rPr>
        <w:t xml:space="preserve"> 2011 ABCA 318, </w:t>
      </w:r>
      <w:r>
        <w:rPr>
          <w:sz w:val="28"/>
          <w:szCs w:val="28"/>
        </w:rPr>
        <w:t xml:space="preserve">the accused was charged with an offence contrary to section 264 of the </w:t>
      </w:r>
      <w:r w:rsidRPr="0059526F">
        <w:rPr>
          <w:i/>
          <w:sz w:val="28"/>
          <w:szCs w:val="28"/>
        </w:rPr>
        <w:t>Criminal Code</w:t>
      </w:r>
      <w:r>
        <w:rPr>
          <w:sz w:val="28"/>
          <w:szCs w:val="28"/>
        </w:rPr>
        <w:t>.  At his trial he initially declined to testify.  However, after counsels’ submissions were completed he indicated that he wished to testify.  The trial judge re-opened the trial and the accused testified.  He was convicted.</w:t>
      </w:r>
      <w:r w:rsidRPr="001619D3">
        <w:rPr>
          <w:sz w:val="28"/>
          <w:szCs w:val="28"/>
        </w:rPr>
        <w:t xml:space="preserve"> </w:t>
      </w:r>
      <w:r w:rsidR="005837BF">
        <w:rPr>
          <w:sz w:val="28"/>
          <w:szCs w:val="28"/>
        </w:rPr>
        <w:t xml:space="preserve"> </w:t>
      </w:r>
      <w:r w:rsidRPr="001619D3">
        <w:rPr>
          <w:sz w:val="28"/>
          <w:szCs w:val="28"/>
        </w:rPr>
        <w:t>On appeal he argued that the trial judge should have declared a mistrial.</w:t>
      </w:r>
      <w:r>
        <w:rPr>
          <w:b/>
          <w:sz w:val="28"/>
          <w:szCs w:val="28"/>
        </w:rPr>
        <w:t xml:space="preserve"> </w:t>
      </w:r>
      <w:r w:rsidRPr="001619D3">
        <w:rPr>
          <w:sz w:val="28"/>
          <w:szCs w:val="28"/>
        </w:rPr>
        <w:t>His appeal from conviction was dismissed.</w:t>
      </w:r>
      <w:r>
        <w:rPr>
          <w:b/>
          <w:sz w:val="28"/>
          <w:szCs w:val="28"/>
        </w:rPr>
        <w:t xml:space="preserve"> </w:t>
      </w:r>
      <w:r w:rsidR="004352B6">
        <w:rPr>
          <w:b/>
          <w:sz w:val="28"/>
          <w:szCs w:val="28"/>
        </w:rPr>
        <w:t xml:space="preserve"> </w:t>
      </w:r>
      <w:r>
        <w:rPr>
          <w:sz w:val="28"/>
          <w:szCs w:val="28"/>
        </w:rPr>
        <w:t xml:space="preserve">The Alberta Court of Appeal concluded </w:t>
      </w:r>
      <w:r w:rsidR="005837BF">
        <w:rPr>
          <w:sz w:val="28"/>
          <w:szCs w:val="28"/>
        </w:rPr>
        <w:t>that “</w:t>
      </w:r>
      <w:r w:rsidR="005837BF" w:rsidRPr="00AA6B93">
        <w:rPr>
          <w:rFonts w:ascii="TimesNewRoman" w:hAnsi="TimesNewRoman" w:cs="TimesNewRoman"/>
          <w:sz w:val="28"/>
          <w:szCs w:val="28"/>
        </w:rPr>
        <w:t>in the circumstances of this</w:t>
      </w:r>
      <w:r w:rsidR="005837BF">
        <w:rPr>
          <w:rFonts w:ascii="TimesNewRoman" w:hAnsi="TimesNewRoman" w:cs="TimesNewRoman"/>
          <w:sz w:val="28"/>
          <w:szCs w:val="28"/>
        </w:rPr>
        <w:t xml:space="preserve"> </w:t>
      </w:r>
      <w:r w:rsidR="005837BF" w:rsidRPr="00AA6B93">
        <w:rPr>
          <w:rFonts w:ascii="TimesNewRoman" w:hAnsi="TimesNewRoman" w:cs="TimesNewRoman"/>
          <w:sz w:val="28"/>
          <w:szCs w:val="28"/>
        </w:rPr>
        <w:t xml:space="preserve">case a reasonable and informed person viewing the </w:t>
      </w:r>
      <w:r w:rsidR="005837BF" w:rsidRPr="00AA6B93">
        <w:rPr>
          <w:rFonts w:ascii="TimesNewRoman" w:hAnsi="TimesNewRoman" w:cs="TimesNewRoman"/>
          <w:sz w:val="28"/>
          <w:szCs w:val="28"/>
        </w:rPr>
        <w:lastRenderedPageBreak/>
        <w:t>trial would believe that the trial judge could still</w:t>
      </w:r>
      <w:r w:rsidR="005837BF">
        <w:rPr>
          <w:rFonts w:ascii="TimesNewRoman" w:hAnsi="TimesNewRoman" w:cs="TimesNewRoman"/>
          <w:sz w:val="28"/>
          <w:szCs w:val="28"/>
        </w:rPr>
        <w:t xml:space="preserve"> </w:t>
      </w:r>
      <w:r w:rsidR="005837BF" w:rsidRPr="00AA6B93">
        <w:rPr>
          <w:rFonts w:ascii="TimesNewRoman" w:hAnsi="TimesNewRoman" w:cs="TimesNewRoman"/>
          <w:sz w:val="28"/>
          <w:szCs w:val="28"/>
        </w:rPr>
        <w:t>analyse the evidence without any pre-conceived notions</w:t>
      </w:r>
      <w:r w:rsidR="005837BF">
        <w:rPr>
          <w:rFonts w:ascii="TimesNewRoman" w:hAnsi="TimesNewRoman" w:cs="TimesNewRoman"/>
          <w:sz w:val="28"/>
          <w:szCs w:val="28"/>
        </w:rPr>
        <w:t>”</w:t>
      </w:r>
      <w:r w:rsidR="005837BF">
        <w:rPr>
          <w:sz w:val="28"/>
          <w:szCs w:val="28"/>
        </w:rPr>
        <w:t xml:space="preserve"> </w:t>
      </w:r>
      <w:r>
        <w:rPr>
          <w:sz w:val="28"/>
          <w:szCs w:val="28"/>
        </w:rPr>
        <w:t xml:space="preserve">(at paragraph 12): </w:t>
      </w:r>
    </w:p>
    <w:p w:rsidR="001619D3" w:rsidRDefault="001619D3" w:rsidP="001619D3">
      <w:pPr>
        <w:autoSpaceDE w:val="0"/>
        <w:autoSpaceDN w:val="0"/>
        <w:adjustRightInd w:val="0"/>
        <w:ind w:left="720"/>
        <w:jc w:val="both"/>
        <w:rPr>
          <w:rFonts w:ascii="TimesNewRoman" w:hAnsi="TimesNewRoman" w:cs="TimesNewRoman"/>
          <w:sz w:val="28"/>
          <w:szCs w:val="28"/>
        </w:rPr>
      </w:pPr>
      <w:r w:rsidRPr="00AA6B93">
        <w:rPr>
          <w:rFonts w:ascii="TimesNewRoman" w:hAnsi="TimesNewRoman" w:cs="TimesNewRoman"/>
          <w:sz w:val="28"/>
          <w:szCs w:val="28"/>
        </w:rPr>
        <w:t>In this case, the trial judge considered whether he could still analyse the evidence without</w:t>
      </w:r>
      <w:r>
        <w:rPr>
          <w:rFonts w:ascii="TimesNewRoman" w:hAnsi="TimesNewRoman" w:cs="TimesNewRoman"/>
          <w:sz w:val="28"/>
          <w:szCs w:val="28"/>
        </w:rPr>
        <w:t xml:space="preserve"> </w:t>
      </w:r>
      <w:r w:rsidRPr="00AA6B93">
        <w:rPr>
          <w:rFonts w:ascii="TimesNewRoman" w:hAnsi="TimesNewRoman" w:cs="TimesNewRoman"/>
          <w:sz w:val="28"/>
          <w:szCs w:val="28"/>
        </w:rPr>
        <w:t>any pre-conceived notions and came to the conclusion that he could. We are not inclined to interfere</w:t>
      </w:r>
      <w:r>
        <w:rPr>
          <w:rFonts w:ascii="TimesNewRoman" w:hAnsi="TimesNewRoman" w:cs="TimesNewRoman"/>
          <w:sz w:val="28"/>
          <w:szCs w:val="28"/>
        </w:rPr>
        <w:t xml:space="preserve"> </w:t>
      </w:r>
      <w:r w:rsidRPr="00AA6B93">
        <w:rPr>
          <w:rFonts w:ascii="TimesNewRoman" w:hAnsi="TimesNewRoman" w:cs="TimesNewRoman"/>
          <w:sz w:val="28"/>
          <w:szCs w:val="28"/>
        </w:rPr>
        <w:t>with that conclusion in the absence of any indication of bias. Secondly, in the circumstances of this</w:t>
      </w:r>
      <w:r>
        <w:rPr>
          <w:rFonts w:ascii="TimesNewRoman" w:hAnsi="TimesNewRoman" w:cs="TimesNewRoman"/>
          <w:sz w:val="28"/>
          <w:szCs w:val="28"/>
        </w:rPr>
        <w:t xml:space="preserve"> </w:t>
      </w:r>
      <w:r w:rsidRPr="00AA6B93">
        <w:rPr>
          <w:rFonts w:ascii="TimesNewRoman" w:hAnsi="TimesNewRoman" w:cs="TimesNewRoman"/>
          <w:sz w:val="28"/>
          <w:szCs w:val="28"/>
        </w:rPr>
        <w:t>case a reasonable and informed person viewing the trial would believe that the trial judge could still</w:t>
      </w:r>
      <w:r>
        <w:rPr>
          <w:rFonts w:ascii="TimesNewRoman" w:hAnsi="TimesNewRoman" w:cs="TimesNewRoman"/>
          <w:sz w:val="28"/>
          <w:szCs w:val="28"/>
        </w:rPr>
        <w:t xml:space="preserve"> </w:t>
      </w:r>
      <w:r w:rsidRPr="00AA6B93">
        <w:rPr>
          <w:rFonts w:ascii="TimesNewRoman" w:hAnsi="TimesNewRoman" w:cs="TimesNewRoman"/>
          <w:sz w:val="28"/>
          <w:szCs w:val="28"/>
        </w:rPr>
        <w:t>analyse the evidence without any pre-conceived notions. The judge had yet to render his verdict and</w:t>
      </w:r>
      <w:r>
        <w:rPr>
          <w:rFonts w:ascii="TimesNewRoman" w:hAnsi="TimesNewRoman" w:cs="TimesNewRoman"/>
          <w:sz w:val="28"/>
          <w:szCs w:val="28"/>
        </w:rPr>
        <w:t xml:space="preserve"> </w:t>
      </w:r>
      <w:r w:rsidRPr="00AA6B93">
        <w:rPr>
          <w:rFonts w:ascii="TimesNewRoman" w:hAnsi="TimesNewRoman" w:cs="TimesNewRoman"/>
          <w:sz w:val="28"/>
          <w:szCs w:val="28"/>
        </w:rPr>
        <w:t>there was nothing on the record to indicate that he had come to any conclusions.</w:t>
      </w:r>
    </w:p>
    <w:p w:rsidR="00320754" w:rsidRPr="00AA6B93" w:rsidRDefault="00320754" w:rsidP="00320754">
      <w:pPr>
        <w:autoSpaceDE w:val="0"/>
        <w:autoSpaceDN w:val="0"/>
        <w:adjustRightInd w:val="0"/>
        <w:jc w:val="both"/>
        <w:rPr>
          <w:b/>
          <w:sz w:val="28"/>
          <w:szCs w:val="28"/>
        </w:rPr>
      </w:pPr>
    </w:p>
    <w:p w:rsidR="000B5537" w:rsidRDefault="000B5537" w:rsidP="00AB0044">
      <w:pPr>
        <w:spacing w:line="480" w:lineRule="auto"/>
        <w:jc w:val="center"/>
        <w:rPr>
          <w:b/>
          <w:iCs/>
          <w:sz w:val="28"/>
          <w:szCs w:val="28"/>
        </w:rPr>
      </w:pPr>
      <w:r>
        <w:rPr>
          <w:b/>
          <w:iCs/>
          <w:sz w:val="28"/>
          <w:szCs w:val="28"/>
        </w:rPr>
        <w:t>SENTENCE</w:t>
      </w:r>
    </w:p>
    <w:p w:rsidR="000B5537" w:rsidRDefault="00F2246C" w:rsidP="00161650">
      <w:pPr>
        <w:spacing w:line="480" w:lineRule="auto"/>
        <w:ind w:firstLine="720"/>
        <w:jc w:val="both"/>
        <w:rPr>
          <w:iCs/>
          <w:sz w:val="28"/>
          <w:szCs w:val="28"/>
        </w:rPr>
      </w:pPr>
      <w:r>
        <w:rPr>
          <w:iCs/>
          <w:sz w:val="28"/>
          <w:szCs w:val="28"/>
        </w:rPr>
        <w:t xml:space="preserve">Judicial commentary at a sentence hearing can cause a reasonable apprehension of bias to occur. </w:t>
      </w:r>
      <w:r w:rsidR="005837BF">
        <w:rPr>
          <w:iCs/>
          <w:sz w:val="28"/>
          <w:szCs w:val="28"/>
        </w:rPr>
        <w:t xml:space="preserve"> </w:t>
      </w:r>
      <w:r w:rsidR="000B5537">
        <w:rPr>
          <w:iCs/>
          <w:sz w:val="28"/>
          <w:szCs w:val="28"/>
        </w:rPr>
        <w:t xml:space="preserve">In </w:t>
      </w:r>
      <w:r w:rsidR="000B5537" w:rsidRPr="00FC6B26">
        <w:rPr>
          <w:b/>
          <w:i/>
          <w:iCs/>
          <w:sz w:val="28"/>
          <w:szCs w:val="28"/>
        </w:rPr>
        <w:t xml:space="preserve">R. v. </w:t>
      </w:r>
      <w:r w:rsidR="00FC6B26" w:rsidRPr="00FC6B26">
        <w:rPr>
          <w:b/>
          <w:i/>
          <w:iCs/>
          <w:sz w:val="28"/>
          <w:szCs w:val="28"/>
          <w:lang w:val="en"/>
        </w:rPr>
        <w:t>T. (C.J.)</w:t>
      </w:r>
      <w:r w:rsidR="00FC6B26" w:rsidRPr="00FC6B26">
        <w:rPr>
          <w:iCs/>
          <w:sz w:val="28"/>
          <w:szCs w:val="28"/>
          <w:lang w:val="en"/>
        </w:rPr>
        <w:t>, 2010 MBCA 61</w:t>
      </w:r>
      <w:r w:rsidR="00FC6B26">
        <w:rPr>
          <w:iCs/>
          <w:sz w:val="28"/>
          <w:szCs w:val="28"/>
          <w:lang w:val="en"/>
        </w:rPr>
        <w:t xml:space="preserve">, </w:t>
      </w:r>
      <w:r w:rsidR="000B5537">
        <w:rPr>
          <w:iCs/>
          <w:sz w:val="28"/>
          <w:szCs w:val="28"/>
        </w:rPr>
        <w:t xml:space="preserve">the </w:t>
      </w:r>
      <w:r>
        <w:rPr>
          <w:iCs/>
          <w:sz w:val="28"/>
          <w:szCs w:val="28"/>
        </w:rPr>
        <w:t>trial judge made comments at a sentence hearing which the offender submitted should have cause</w:t>
      </w:r>
      <w:r w:rsidR="004352B6">
        <w:rPr>
          <w:iCs/>
          <w:sz w:val="28"/>
          <w:szCs w:val="28"/>
        </w:rPr>
        <w:t>d</w:t>
      </w:r>
      <w:r>
        <w:rPr>
          <w:iCs/>
          <w:sz w:val="28"/>
          <w:szCs w:val="28"/>
        </w:rPr>
        <w:t xml:space="preserve"> a recusal to occur.  The Manitoba Court of Appeal described the nature of those comments in the following manner</w:t>
      </w:r>
      <w:r w:rsidR="000B5537">
        <w:rPr>
          <w:iCs/>
          <w:sz w:val="28"/>
          <w:szCs w:val="28"/>
        </w:rPr>
        <w:t xml:space="preserve">: </w:t>
      </w:r>
    </w:p>
    <w:p w:rsidR="000B5537" w:rsidRDefault="000B5537" w:rsidP="00161650">
      <w:pPr>
        <w:pStyle w:val="style11"/>
        <w:ind w:left="720" w:firstLine="0"/>
        <w:rPr>
          <w:lang w:val="en"/>
        </w:rPr>
      </w:pPr>
      <w:r>
        <w:rPr>
          <w:lang w:val="en"/>
        </w:rPr>
        <w:t>In the course of listening to the Crown’s submissions, and prior to any submissions of defence counsel, the sentencing judge made the following comments:</w:t>
      </w:r>
    </w:p>
    <w:p w:rsidR="000B5537" w:rsidRDefault="000B5537" w:rsidP="00161650">
      <w:pPr>
        <w:spacing w:before="160" w:after="120"/>
        <w:ind w:left="1440" w:right="720"/>
        <w:jc w:val="both"/>
        <w:rPr>
          <w:sz w:val="28"/>
          <w:szCs w:val="28"/>
          <w:lang w:val="en"/>
        </w:rPr>
      </w:pPr>
      <w:r w:rsidRPr="000B5537">
        <w:rPr>
          <w:sz w:val="28"/>
          <w:szCs w:val="28"/>
          <w:lang w:val="en"/>
        </w:rPr>
        <w:t>That this punk thinks he can walk around, you know, with a sling under his jacket concealing a sawed off firearm.  I mean that – while he’s on probation and a weapons prohibition.  I mean it’s insane.</w:t>
      </w:r>
    </w:p>
    <w:p w:rsidR="00FC6B26" w:rsidRDefault="00FC6B26" w:rsidP="00161650">
      <w:pPr>
        <w:spacing w:before="160" w:after="120" w:line="480" w:lineRule="auto"/>
        <w:ind w:firstLine="720"/>
        <w:jc w:val="both"/>
        <w:rPr>
          <w:sz w:val="28"/>
          <w:szCs w:val="28"/>
          <w:lang w:val="en"/>
        </w:rPr>
      </w:pPr>
      <w:r>
        <w:rPr>
          <w:sz w:val="28"/>
          <w:szCs w:val="28"/>
          <w:lang w:val="en"/>
        </w:rPr>
        <w:t>The Court of Appeal concluded</w:t>
      </w:r>
      <w:r w:rsidR="00F2246C">
        <w:rPr>
          <w:sz w:val="28"/>
          <w:szCs w:val="28"/>
          <w:lang w:val="en"/>
        </w:rPr>
        <w:t xml:space="preserve"> that a reasonable apprehension of bias had not been established</w:t>
      </w:r>
      <w:r w:rsidR="005837BF">
        <w:rPr>
          <w:sz w:val="28"/>
          <w:szCs w:val="28"/>
          <w:lang w:val="en"/>
        </w:rPr>
        <w:t xml:space="preserve"> because</w:t>
      </w:r>
      <w:r w:rsidR="00D42934">
        <w:rPr>
          <w:sz w:val="28"/>
          <w:szCs w:val="28"/>
          <w:lang w:val="en"/>
        </w:rPr>
        <w:t xml:space="preserve"> “</w:t>
      </w:r>
      <w:r w:rsidR="00D42934" w:rsidRPr="00FC6B26">
        <w:rPr>
          <w:sz w:val="28"/>
          <w:szCs w:val="28"/>
          <w:lang w:val="en"/>
        </w:rPr>
        <w:t>reasonable person who was there for the entire proceedings would have felt that the matter was decided fairly</w:t>
      </w:r>
      <w:r w:rsidR="00D42934">
        <w:rPr>
          <w:sz w:val="28"/>
          <w:szCs w:val="28"/>
          <w:lang w:val="en"/>
        </w:rPr>
        <w:t>”</w:t>
      </w:r>
      <w:r>
        <w:rPr>
          <w:sz w:val="28"/>
          <w:szCs w:val="28"/>
          <w:lang w:val="en"/>
        </w:rPr>
        <w:t>:</w:t>
      </w:r>
    </w:p>
    <w:p w:rsidR="00FC6B26" w:rsidRDefault="00D42934" w:rsidP="00161650">
      <w:pPr>
        <w:spacing w:before="160" w:after="120"/>
        <w:ind w:left="720"/>
        <w:jc w:val="both"/>
        <w:rPr>
          <w:sz w:val="28"/>
          <w:szCs w:val="28"/>
          <w:lang w:val="en"/>
        </w:rPr>
      </w:pPr>
      <w:r>
        <w:rPr>
          <w:sz w:val="28"/>
          <w:szCs w:val="28"/>
          <w:lang w:val="en"/>
        </w:rPr>
        <w:lastRenderedPageBreak/>
        <w:t>...</w:t>
      </w:r>
      <w:r w:rsidR="00FC6B26" w:rsidRPr="00FC6B26">
        <w:rPr>
          <w:sz w:val="28"/>
          <w:szCs w:val="28"/>
          <w:lang w:val="en"/>
        </w:rPr>
        <w:t xml:space="preserve">as stated in </w:t>
      </w:r>
      <w:r w:rsidR="00FC6B26" w:rsidRPr="00FC6B26">
        <w:rPr>
          <w:i/>
          <w:iCs/>
          <w:sz w:val="28"/>
          <w:szCs w:val="28"/>
          <w:lang w:val="en"/>
        </w:rPr>
        <w:t>R. v. S. (R.D.)</w:t>
      </w:r>
      <w:r w:rsidR="00FC6B26" w:rsidRPr="00FC6B26">
        <w:rPr>
          <w:sz w:val="28"/>
          <w:szCs w:val="28"/>
          <w:lang w:val="en"/>
        </w:rPr>
        <w:t xml:space="preserve">, </w:t>
      </w:r>
      <w:bookmarkStart w:id="15" w:name="reflex-caselaw-55795993"/>
      <w:r w:rsidR="00FC6B26" w:rsidRPr="00FC6B26">
        <w:rPr>
          <w:sz w:val="28"/>
          <w:szCs w:val="28"/>
          <w:lang w:val="en"/>
        </w:rPr>
        <w:fldChar w:fldCharType="begin"/>
      </w:r>
      <w:r w:rsidR="00FC6B26" w:rsidRPr="00FC6B26">
        <w:rPr>
          <w:sz w:val="28"/>
          <w:szCs w:val="28"/>
          <w:lang w:val="en"/>
        </w:rPr>
        <w:instrText xml:space="preserve"> HYPERLINK "http://canlii.org/en/ca/scc/doc/1997/1997canlii324/1997canlii324.html" </w:instrText>
      </w:r>
      <w:r w:rsidR="00FC6B26" w:rsidRPr="00FC6B26">
        <w:rPr>
          <w:sz w:val="28"/>
          <w:szCs w:val="28"/>
          <w:lang w:val="en"/>
        </w:rPr>
        <w:fldChar w:fldCharType="separate"/>
      </w:r>
      <w:r w:rsidR="00FC6B26" w:rsidRPr="00FC6B26">
        <w:rPr>
          <w:rStyle w:val="Hyperlink"/>
          <w:rFonts w:ascii="Times New Roman" w:hAnsi="Times New Roman"/>
          <w:color w:val="auto"/>
          <w:sz w:val="28"/>
          <w:szCs w:val="28"/>
          <w:lang w:val="en"/>
        </w:rPr>
        <w:t>1997 CanLII 324 (S.C.C.)</w:t>
      </w:r>
      <w:r w:rsidR="00FC6B26" w:rsidRPr="00FC6B26">
        <w:rPr>
          <w:sz w:val="28"/>
          <w:szCs w:val="28"/>
          <w:lang w:val="en"/>
        </w:rPr>
        <w:fldChar w:fldCharType="end"/>
      </w:r>
      <w:bookmarkEnd w:id="15"/>
      <w:r w:rsidR="00FC6B26" w:rsidRPr="00FC6B26">
        <w:rPr>
          <w:sz w:val="28"/>
          <w:szCs w:val="28"/>
          <w:lang w:val="en"/>
        </w:rPr>
        <w:t xml:space="preserve">, [1997] 3 S.C.R. 484, his comments cannot be looked at in isolation, but rather must be considered in the context of the circumstances and in light of the whole proceeding.  The comments of the judge came during submissions of Crown counsel, after the judge had heard about the seriousness of the offences, after having seen the incident on the video and after hearing about the young person’s criminal record, including the recent imposition of a weapons prohibition.  Looked at in that context, and especially after reading the reasons of the sentencing judge, where he carefully explained his rationale, we are of the opinion that a reasonable person who was there for the entire proceedings would have felt that the matter was decided fairly.  </w:t>
      </w:r>
    </w:p>
    <w:p w:rsidR="007653E8" w:rsidRPr="007653E8" w:rsidRDefault="001B4651" w:rsidP="00161650">
      <w:pPr>
        <w:spacing w:before="160" w:after="120" w:line="480" w:lineRule="auto"/>
        <w:ind w:firstLine="720"/>
        <w:jc w:val="both"/>
        <w:rPr>
          <w:sz w:val="28"/>
          <w:szCs w:val="28"/>
        </w:rPr>
      </w:pPr>
      <w:r>
        <w:rPr>
          <w:sz w:val="28"/>
          <w:szCs w:val="28"/>
          <w:lang w:val="en"/>
        </w:rPr>
        <w:t xml:space="preserve">In </w:t>
      </w:r>
      <w:r w:rsidRPr="007653E8">
        <w:rPr>
          <w:b/>
          <w:i/>
          <w:sz w:val="28"/>
          <w:szCs w:val="28"/>
          <w:lang w:val="en"/>
        </w:rPr>
        <w:t xml:space="preserve">R. v. </w:t>
      </w:r>
      <w:r w:rsidR="007653E8" w:rsidRPr="007653E8">
        <w:rPr>
          <w:b/>
          <w:i/>
          <w:sz w:val="28"/>
          <w:szCs w:val="28"/>
          <w:lang w:val="en"/>
        </w:rPr>
        <w:t>Lapointe</w:t>
      </w:r>
      <w:r>
        <w:rPr>
          <w:sz w:val="28"/>
          <w:szCs w:val="28"/>
          <w:lang w:val="en"/>
        </w:rPr>
        <w:t>, 2010 NBCA</w:t>
      </w:r>
      <w:r w:rsidR="007653E8">
        <w:rPr>
          <w:sz w:val="28"/>
          <w:szCs w:val="28"/>
          <w:lang w:val="en"/>
        </w:rPr>
        <w:t xml:space="preserve"> 63</w:t>
      </w:r>
      <w:r>
        <w:rPr>
          <w:sz w:val="28"/>
          <w:szCs w:val="28"/>
          <w:lang w:val="en"/>
        </w:rPr>
        <w:t>, the trial judge</w:t>
      </w:r>
      <w:r w:rsidR="00AB206B">
        <w:rPr>
          <w:sz w:val="28"/>
          <w:szCs w:val="28"/>
          <w:lang w:val="en"/>
        </w:rPr>
        <w:t>, who had represented the offender prior to his appointment as a judge,</w:t>
      </w:r>
      <w:r>
        <w:rPr>
          <w:sz w:val="28"/>
          <w:szCs w:val="28"/>
          <w:lang w:val="en"/>
        </w:rPr>
        <w:t xml:space="preserve"> during the sentence hearing made a number of comments which </w:t>
      </w:r>
      <w:r w:rsidR="007653E8">
        <w:rPr>
          <w:sz w:val="28"/>
          <w:szCs w:val="28"/>
          <w:lang w:val="en"/>
        </w:rPr>
        <w:t xml:space="preserve">the offender argued raised a reasonable apprehension of bias.  The </w:t>
      </w:r>
      <w:r w:rsidR="0037506E">
        <w:rPr>
          <w:sz w:val="28"/>
          <w:szCs w:val="28"/>
          <w:lang w:val="en"/>
        </w:rPr>
        <w:t xml:space="preserve">New Brunswick </w:t>
      </w:r>
      <w:r w:rsidR="007653E8">
        <w:rPr>
          <w:sz w:val="28"/>
          <w:szCs w:val="28"/>
          <w:lang w:val="en"/>
        </w:rPr>
        <w:t>Court of Appeal described the circumstances involved as follows (at paragraph</w:t>
      </w:r>
      <w:r w:rsidR="000F4689">
        <w:rPr>
          <w:sz w:val="28"/>
          <w:szCs w:val="28"/>
          <w:lang w:val="en"/>
        </w:rPr>
        <w:t xml:space="preserve"> 13</w:t>
      </w:r>
      <w:r w:rsidR="007653E8">
        <w:rPr>
          <w:sz w:val="28"/>
          <w:szCs w:val="28"/>
          <w:lang w:val="en"/>
        </w:rPr>
        <w:t>):</w:t>
      </w:r>
    </w:p>
    <w:p w:rsidR="00AB206B" w:rsidRDefault="007653E8" w:rsidP="00161650">
      <w:pPr>
        <w:spacing w:before="160" w:after="120"/>
        <w:ind w:left="720"/>
        <w:jc w:val="both"/>
        <w:rPr>
          <w:sz w:val="28"/>
          <w:szCs w:val="28"/>
        </w:rPr>
      </w:pPr>
      <w:r w:rsidRPr="007653E8">
        <w:rPr>
          <w:sz w:val="28"/>
          <w:szCs w:val="28"/>
        </w:rPr>
        <w:t>The sentencing judge made the impugned statements in both the morning and afternoon sessions of the hearing. The first statement was made during the morning session at which time counsel were given the opportunity to argue with respect to the appropriate sentences. At one point, the sentencing judge addresses the appellant by his first name “Bobby”. This is followed with the question: “What am I going to do?” The appellant responds with the exclamation “Eh?” and the judge once again asks: “What am I going to do?” A few lines later the sentencing judge observes: “I’ve known you for a long time and it’s always the same problem.” The appellant replies: “I know.” In the next sentence the judge states: “I’ve even represented you in the past.” In the afternoon portion of the hearing, while delivering the reasons for his decision, the sentencing judge</w:t>
      </w:r>
      <w:r>
        <w:rPr>
          <w:sz w:val="28"/>
          <w:szCs w:val="28"/>
        </w:rPr>
        <w:t xml:space="preserve"> </w:t>
      </w:r>
      <w:r w:rsidRPr="007653E8">
        <w:rPr>
          <w:sz w:val="28"/>
          <w:szCs w:val="28"/>
        </w:rPr>
        <w:t xml:space="preserve">makes reference to the fact that the appellant seeks to be sentenced to a federal institution. At this juncture, the judge states: “Robert this is your last chance. As I said to you this morning, I’ve known you for a long time. But you’ve gotta do something, as I’m out of ideas.” Based </w:t>
      </w:r>
      <w:r w:rsidRPr="007653E8">
        <w:rPr>
          <w:sz w:val="28"/>
          <w:szCs w:val="28"/>
        </w:rPr>
        <w:lastRenderedPageBreak/>
        <w:t xml:space="preserve">on those comments, counsel for the appellant argues the record reveals or gives rise to a reasonable apprehension of bias. </w:t>
      </w:r>
    </w:p>
    <w:p w:rsidR="00AB206B" w:rsidRPr="00AB206B" w:rsidRDefault="00AB206B" w:rsidP="00161650">
      <w:pPr>
        <w:spacing w:before="160" w:after="120" w:line="480" w:lineRule="auto"/>
        <w:jc w:val="both"/>
        <w:rPr>
          <w:sz w:val="28"/>
          <w:szCs w:val="28"/>
        </w:rPr>
      </w:pPr>
      <w:r>
        <w:rPr>
          <w:sz w:val="28"/>
          <w:szCs w:val="28"/>
        </w:rPr>
        <w:tab/>
        <w:t xml:space="preserve">In rejecting the argument that a reasonable apprehension of bias had been established, the </w:t>
      </w:r>
      <w:r w:rsidR="002B6CD9">
        <w:rPr>
          <w:sz w:val="28"/>
          <w:szCs w:val="28"/>
        </w:rPr>
        <w:t xml:space="preserve">New Brunswick </w:t>
      </w:r>
      <w:r>
        <w:rPr>
          <w:sz w:val="28"/>
          <w:szCs w:val="28"/>
        </w:rPr>
        <w:t xml:space="preserve">Court of Appeal concluded </w:t>
      </w:r>
      <w:r w:rsidR="0037506E">
        <w:rPr>
          <w:sz w:val="28"/>
          <w:szCs w:val="28"/>
        </w:rPr>
        <w:t xml:space="preserve">that the sentencing judge’s reference to the accused by his first name </w:t>
      </w:r>
      <w:r w:rsidR="004352B6">
        <w:rPr>
          <w:sz w:val="28"/>
          <w:szCs w:val="28"/>
        </w:rPr>
        <w:t>“</w:t>
      </w:r>
      <w:r w:rsidR="0037506E">
        <w:rPr>
          <w:sz w:val="28"/>
          <w:szCs w:val="28"/>
        </w:rPr>
        <w:t>was regrettable” but a “</w:t>
      </w:r>
      <w:r w:rsidR="0037506E" w:rsidRPr="00AB206B">
        <w:rPr>
          <w:sz w:val="28"/>
          <w:szCs w:val="28"/>
        </w:rPr>
        <w:t>reasonably well-informed bystander</w:t>
      </w:r>
      <w:r w:rsidR="0037506E">
        <w:rPr>
          <w:sz w:val="28"/>
          <w:szCs w:val="28"/>
        </w:rPr>
        <w:t xml:space="preserve">” would not </w:t>
      </w:r>
      <w:r w:rsidR="00D7748C">
        <w:rPr>
          <w:sz w:val="28"/>
          <w:szCs w:val="28"/>
        </w:rPr>
        <w:t xml:space="preserve">conclude </w:t>
      </w:r>
      <w:r w:rsidR="00D7748C" w:rsidRPr="00AB206B">
        <w:rPr>
          <w:sz w:val="28"/>
          <w:szCs w:val="28"/>
        </w:rPr>
        <w:t>that</w:t>
      </w:r>
      <w:r w:rsidR="0037506E" w:rsidRPr="00AB206B">
        <w:rPr>
          <w:sz w:val="28"/>
          <w:szCs w:val="28"/>
        </w:rPr>
        <w:t xml:space="preserve"> </w:t>
      </w:r>
      <w:r w:rsidR="0037506E">
        <w:rPr>
          <w:sz w:val="28"/>
          <w:szCs w:val="28"/>
        </w:rPr>
        <w:t>“</w:t>
      </w:r>
      <w:r w:rsidR="0037506E" w:rsidRPr="00AB206B">
        <w:rPr>
          <w:sz w:val="28"/>
          <w:szCs w:val="28"/>
        </w:rPr>
        <w:t>the sentencing judge was biased against the appellant</w:t>
      </w:r>
      <w:r w:rsidR="0037506E">
        <w:rPr>
          <w:sz w:val="28"/>
          <w:szCs w:val="28"/>
        </w:rPr>
        <w:t>”</w:t>
      </w:r>
      <w:r w:rsidR="0037506E" w:rsidRPr="00AB206B">
        <w:rPr>
          <w:sz w:val="28"/>
          <w:szCs w:val="28"/>
        </w:rPr>
        <w:t xml:space="preserve"> </w:t>
      </w:r>
      <w:r>
        <w:rPr>
          <w:sz w:val="28"/>
          <w:szCs w:val="28"/>
        </w:rPr>
        <w:t>(at paragraph 20):</w:t>
      </w:r>
    </w:p>
    <w:p w:rsidR="00AB206B" w:rsidRDefault="00AB206B" w:rsidP="00161650">
      <w:pPr>
        <w:spacing w:before="160" w:after="120"/>
        <w:ind w:left="720"/>
        <w:jc w:val="both"/>
        <w:rPr>
          <w:sz w:val="28"/>
          <w:szCs w:val="28"/>
        </w:rPr>
      </w:pPr>
      <w:r w:rsidRPr="00AB206B">
        <w:rPr>
          <w:sz w:val="28"/>
          <w:szCs w:val="28"/>
        </w:rPr>
        <w:t xml:space="preserve">To uphold the bias allegation on the facts of the present case, one must be prepared to accept that the sentencing judge’s comments about his knowledge of the appellant might reasonably be regarded by an informed and disinterested third party as reflecting a personal knowledge or relationship with the appellant, one that is outside the realm of what is generally known in the community in which they reside. Moreover, those comments would have to lead one to conclude that this extra-judicial knowledge was such that the reasonably well-informed bystander might harbour the belief that the sentencing judge was biased against the appellant. This is tantamount to saying that had the sentencing judge reflected on the matter of past-association, he would have recused himself from hearing the matter. Having regard to the relevant legal test, the legal presumption of judicial impartiality and the caution that the reasonable and well-informed bystander does not have a “sensitive or scrupulous conscience,” I cannot accept the appellant’s bias argument. Rather, the record supports the inference that the sentencing judge’s knowledge of the appellant is tied to the latter’s general reputation in the community which is informed by the frequency in which he appears in the Provincial Court and which remains a matter of public record. </w:t>
      </w:r>
    </w:p>
    <w:p w:rsidR="005466ED" w:rsidRDefault="005466ED" w:rsidP="005466ED">
      <w:pPr>
        <w:spacing w:before="160" w:after="120"/>
        <w:jc w:val="both"/>
        <w:rPr>
          <w:sz w:val="28"/>
          <w:szCs w:val="28"/>
        </w:rPr>
      </w:pPr>
    </w:p>
    <w:p w:rsidR="005466ED" w:rsidRDefault="005466ED" w:rsidP="005466ED">
      <w:pPr>
        <w:autoSpaceDE w:val="0"/>
        <w:autoSpaceDN w:val="0"/>
        <w:adjustRightInd w:val="0"/>
        <w:spacing w:line="480" w:lineRule="auto"/>
        <w:ind w:firstLine="720"/>
        <w:jc w:val="both"/>
        <w:rPr>
          <w:sz w:val="28"/>
          <w:szCs w:val="28"/>
        </w:rPr>
      </w:pPr>
      <w:r>
        <w:rPr>
          <w:sz w:val="28"/>
          <w:szCs w:val="28"/>
        </w:rPr>
        <w:t xml:space="preserve">In </w:t>
      </w:r>
      <w:r w:rsidRPr="005466ED">
        <w:rPr>
          <w:b/>
          <w:i/>
          <w:sz w:val="28"/>
          <w:szCs w:val="28"/>
        </w:rPr>
        <w:t>R. v. F.Y</w:t>
      </w:r>
      <w:r>
        <w:rPr>
          <w:b/>
          <w:sz w:val="28"/>
          <w:szCs w:val="28"/>
        </w:rPr>
        <w:t>.,</w:t>
      </w:r>
      <w:r w:rsidRPr="005466ED">
        <w:rPr>
          <w:sz w:val="28"/>
          <w:szCs w:val="28"/>
        </w:rPr>
        <w:t xml:space="preserve"> 2011 NBCA 86, </w:t>
      </w:r>
      <w:r>
        <w:rPr>
          <w:sz w:val="28"/>
          <w:szCs w:val="28"/>
        </w:rPr>
        <w:t xml:space="preserve">the accused was sentenced to a period of </w:t>
      </w:r>
      <w:r w:rsidR="0037506E">
        <w:rPr>
          <w:sz w:val="28"/>
          <w:szCs w:val="28"/>
        </w:rPr>
        <w:t>twelve</w:t>
      </w:r>
      <w:r>
        <w:rPr>
          <w:sz w:val="28"/>
          <w:szCs w:val="28"/>
        </w:rPr>
        <w:t xml:space="preserve"> months incarceration for the offence of break and entry.  She </w:t>
      </w:r>
      <w:r>
        <w:rPr>
          <w:sz w:val="28"/>
          <w:szCs w:val="28"/>
        </w:rPr>
        <w:lastRenderedPageBreak/>
        <w:t xml:space="preserve">appealed from the sentence imposed.  She argued that the sentence was excessive and that a reasonable apprehension of bias had arisen.  On the latter issue, the following exchanged occurred between the trial judge and Crown counsel at the sentence hearing: </w:t>
      </w:r>
    </w:p>
    <w:p w:rsidR="005466ED" w:rsidRDefault="005466ED" w:rsidP="005466ED">
      <w:pPr>
        <w:pStyle w:val="Default"/>
        <w:ind w:left="720"/>
        <w:jc w:val="both"/>
        <w:rPr>
          <w:sz w:val="28"/>
          <w:szCs w:val="28"/>
        </w:rPr>
      </w:pPr>
      <w:r w:rsidRPr="006334E0">
        <w:rPr>
          <w:b/>
          <w:bCs/>
          <w:sz w:val="28"/>
          <w:szCs w:val="28"/>
        </w:rPr>
        <w:t xml:space="preserve">MS. DRAIN: </w:t>
      </w:r>
      <w:r w:rsidRPr="006334E0">
        <w:rPr>
          <w:sz w:val="28"/>
          <w:szCs w:val="28"/>
        </w:rPr>
        <w:t xml:space="preserve">[…] I think she might have some hope or suggestion that the Court may consider the imposition of a sentence under section 742, a conditional sentence. We would be – </w:t>
      </w:r>
    </w:p>
    <w:p w:rsidR="005466ED" w:rsidRPr="006334E0" w:rsidRDefault="005466ED" w:rsidP="005466ED">
      <w:pPr>
        <w:pStyle w:val="Default"/>
        <w:jc w:val="both"/>
        <w:rPr>
          <w:sz w:val="28"/>
          <w:szCs w:val="28"/>
        </w:rPr>
      </w:pPr>
    </w:p>
    <w:p w:rsidR="005466ED" w:rsidRDefault="005466ED" w:rsidP="005466ED">
      <w:pPr>
        <w:pStyle w:val="Default"/>
        <w:ind w:firstLine="720"/>
        <w:jc w:val="both"/>
        <w:rPr>
          <w:sz w:val="28"/>
          <w:szCs w:val="28"/>
        </w:rPr>
      </w:pPr>
      <w:r w:rsidRPr="006334E0">
        <w:rPr>
          <w:b/>
          <w:bCs/>
          <w:sz w:val="28"/>
          <w:szCs w:val="28"/>
        </w:rPr>
        <w:t xml:space="preserve">THE COURT: </w:t>
      </w:r>
      <w:r w:rsidRPr="006334E0">
        <w:rPr>
          <w:sz w:val="28"/>
          <w:szCs w:val="28"/>
        </w:rPr>
        <w:t xml:space="preserve">Forget it. </w:t>
      </w:r>
    </w:p>
    <w:p w:rsidR="005466ED" w:rsidRPr="006334E0" w:rsidRDefault="005466ED" w:rsidP="005466ED">
      <w:pPr>
        <w:pStyle w:val="Default"/>
        <w:jc w:val="both"/>
        <w:rPr>
          <w:sz w:val="28"/>
          <w:szCs w:val="28"/>
        </w:rPr>
      </w:pPr>
    </w:p>
    <w:p w:rsidR="005466ED" w:rsidRDefault="005466ED" w:rsidP="005466ED">
      <w:pPr>
        <w:pStyle w:val="Default"/>
        <w:ind w:left="720"/>
        <w:jc w:val="both"/>
        <w:rPr>
          <w:sz w:val="28"/>
          <w:szCs w:val="28"/>
        </w:rPr>
      </w:pPr>
      <w:r w:rsidRPr="006334E0">
        <w:rPr>
          <w:b/>
          <w:bCs/>
          <w:sz w:val="28"/>
          <w:szCs w:val="28"/>
        </w:rPr>
        <w:t xml:space="preserve">MS. DRAIN: </w:t>
      </w:r>
      <w:r w:rsidRPr="006334E0">
        <w:rPr>
          <w:sz w:val="28"/>
          <w:szCs w:val="28"/>
        </w:rPr>
        <w:t xml:space="preserve">Okay; we would be opposed to it, plus it shows a break on her record that she doesn’t – </w:t>
      </w:r>
    </w:p>
    <w:p w:rsidR="005466ED" w:rsidRPr="006334E0" w:rsidRDefault="005466ED" w:rsidP="005466ED">
      <w:pPr>
        <w:pStyle w:val="Default"/>
        <w:jc w:val="both"/>
        <w:rPr>
          <w:sz w:val="28"/>
          <w:szCs w:val="28"/>
        </w:rPr>
      </w:pPr>
    </w:p>
    <w:p w:rsidR="005466ED" w:rsidRDefault="005466ED" w:rsidP="005466ED">
      <w:pPr>
        <w:pStyle w:val="Default"/>
        <w:ind w:left="720"/>
        <w:jc w:val="both"/>
        <w:rPr>
          <w:sz w:val="28"/>
          <w:szCs w:val="28"/>
        </w:rPr>
      </w:pPr>
      <w:r w:rsidRPr="006334E0">
        <w:rPr>
          <w:b/>
          <w:bCs/>
          <w:sz w:val="28"/>
          <w:szCs w:val="28"/>
        </w:rPr>
        <w:t xml:space="preserve">THE COURT: </w:t>
      </w:r>
      <w:r w:rsidRPr="006334E0">
        <w:rPr>
          <w:sz w:val="28"/>
          <w:szCs w:val="28"/>
        </w:rPr>
        <w:t xml:space="preserve">You know what I think of those anyway, Ms. Drain, so – </w:t>
      </w:r>
    </w:p>
    <w:p w:rsidR="0037506E" w:rsidRPr="006334E0" w:rsidRDefault="0037506E" w:rsidP="0037506E">
      <w:pPr>
        <w:pStyle w:val="Default"/>
        <w:jc w:val="both"/>
        <w:rPr>
          <w:sz w:val="28"/>
          <w:szCs w:val="28"/>
        </w:rPr>
      </w:pPr>
    </w:p>
    <w:p w:rsidR="005466ED" w:rsidRPr="006334E0" w:rsidRDefault="005466ED" w:rsidP="005466ED">
      <w:pPr>
        <w:pStyle w:val="Default"/>
        <w:ind w:left="720"/>
        <w:jc w:val="both"/>
        <w:rPr>
          <w:sz w:val="28"/>
          <w:szCs w:val="28"/>
        </w:rPr>
      </w:pPr>
      <w:r w:rsidRPr="006334E0">
        <w:rPr>
          <w:b/>
          <w:bCs/>
          <w:sz w:val="28"/>
          <w:szCs w:val="28"/>
        </w:rPr>
        <w:t xml:space="preserve">MS. DRAIN: </w:t>
      </w:r>
      <w:r w:rsidRPr="006334E0">
        <w:rPr>
          <w:sz w:val="28"/>
          <w:szCs w:val="28"/>
        </w:rPr>
        <w:t xml:space="preserve">Yes, I do, Your Honour; so in the circumstances we’re asking the Court to consider a period of incarceration I would suggest in the range of 18 to 24 months with regard to this matter. </w:t>
      </w:r>
    </w:p>
    <w:p w:rsidR="005466ED" w:rsidRPr="006334E0" w:rsidRDefault="005466ED" w:rsidP="005466ED">
      <w:pPr>
        <w:pStyle w:val="Default"/>
        <w:jc w:val="both"/>
        <w:rPr>
          <w:sz w:val="28"/>
          <w:szCs w:val="28"/>
        </w:rPr>
      </w:pPr>
    </w:p>
    <w:p w:rsidR="005466ED" w:rsidRDefault="005466ED" w:rsidP="005466ED">
      <w:pPr>
        <w:pStyle w:val="Default"/>
        <w:ind w:left="720"/>
        <w:jc w:val="both"/>
        <w:rPr>
          <w:sz w:val="28"/>
          <w:szCs w:val="28"/>
        </w:rPr>
      </w:pPr>
      <w:r>
        <w:rPr>
          <w:sz w:val="28"/>
          <w:szCs w:val="28"/>
        </w:rPr>
        <w:t xml:space="preserve">On the issue of the above noted exchange, the New Brunswick Court of Appeal </w:t>
      </w:r>
      <w:r w:rsidR="0037506E">
        <w:rPr>
          <w:sz w:val="28"/>
          <w:szCs w:val="28"/>
        </w:rPr>
        <w:t>held that the trial judge “</w:t>
      </w:r>
      <w:r w:rsidR="0037506E" w:rsidRPr="0037506E">
        <w:rPr>
          <w:sz w:val="28"/>
          <w:szCs w:val="28"/>
        </w:rPr>
        <w:t xml:space="preserve">demonstrated a closed mind on the subject of a conditional sentence before having heard from the appellant. </w:t>
      </w:r>
      <w:r w:rsidR="0037506E">
        <w:rPr>
          <w:sz w:val="28"/>
          <w:szCs w:val="28"/>
        </w:rPr>
        <w:t xml:space="preserve"> </w:t>
      </w:r>
      <w:r w:rsidR="0037506E" w:rsidRPr="0037506E">
        <w:rPr>
          <w:sz w:val="28"/>
          <w:szCs w:val="28"/>
        </w:rPr>
        <w:t xml:space="preserve">He </w:t>
      </w:r>
    </w:p>
    <w:p w:rsidR="005466ED" w:rsidRDefault="005466ED" w:rsidP="005466ED">
      <w:pPr>
        <w:autoSpaceDE w:val="0"/>
        <w:autoSpaceDN w:val="0"/>
        <w:adjustRightInd w:val="0"/>
        <w:jc w:val="both"/>
        <w:rPr>
          <w:b/>
          <w:sz w:val="28"/>
          <w:szCs w:val="28"/>
        </w:rPr>
      </w:pPr>
    </w:p>
    <w:p w:rsidR="00AF125C" w:rsidRDefault="00AF125C" w:rsidP="00AB0044">
      <w:pPr>
        <w:jc w:val="center"/>
        <w:rPr>
          <w:b/>
          <w:sz w:val="28"/>
          <w:szCs w:val="28"/>
        </w:rPr>
      </w:pPr>
      <w:r w:rsidRPr="00AF125C">
        <w:rPr>
          <w:b/>
          <w:sz w:val="28"/>
          <w:szCs w:val="28"/>
        </w:rPr>
        <w:t>APPEALS</w:t>
      </w:r>
    </w:p>
    <w:p w:rsidR="00444416" w:rsidRPr="00AF125C" w:rsidRDefault="00444416" w:rsidP="00161650">
      <w:pPr>
        <w:jc w:val="both"/>
        <w:rPr>
          <w:b/>
          <w:sz w:val="28"/>
          <w:szCs w:val="28"/>
        </w:rPr>
      </w:pPr>
    </w:p>
    <w:p w:rsidR="00016B2A" w:rsidRPr="00EE597A" w:rsidRDefault="00D54402" w:rsidP="00161650">
      <w:pPr>
        <w:spacing w:line="480" w:lineRule="auto"/>
        <w:ind w:firstLine="720"/>
        <w:jc w:val="both"/>
        <w:rPr>
          <w:sz w:val="28"/>
          <w:szCs w:val="28"/>
          <w:lang w:val="en-GB"/>
        </w:rPr>
      </w:pPr>
      <w:r>
        <w:rPr>
          <w:color w:val="000000"/>
          <w:sz w:val="28"/>
          <w:szCs w:val="28"/>
        </w:rPr>
        <w:t xml:space="preserve">In </w:t>
      </w:r>
      <w:r w:rsidRPr="00D54402">
        <w:rPr>
          <w:rStyle w:val="bold1"/>
          <w:i/>
          <w:color w:val="000000"/>
          <w:sz w:val="28"/>
          <w:szCs w:val="28"/>
        </w:rPr>
        <w:t>Palkowski v. Ivancic</w:t>
      </w:r>
      <w:r>
        <w:rPr>
          <w:color w:val="000000"/>
          <w:sz w:val="28"/>
          <w:szCs w:val="28"/>
        </w:rPr>
        <w:t>, [2009] O.J. No. 4103 (</w:t>
      </w:r>
      <w:smartTag w:uri="urn:schemas-microsoft-com:office:smarttags" w:element="place">
        <w:smartTag w:uri="urn:schemas-microsoft-com:office:smarttags" w:element="country-region">
          <w:r>
            <w:rPr>
              <w:color w:val="000000"/>
              <w:sz w:val="28"/>
              <w:szCs w:val="28"/>
            </w:rPr>
            <w:t>C.A.</w:t>
          </w:r>
        </w:smartTag>
      </w:smartTag>
      <w:r>
        <w:rPr>
          <w:color w:val="000000"/>
          <w:sz w:val="28"/>
          <w:szCs w:val="28"/>
        </w:rPr>
        <w:t>), an allegation of apprehension of bias was raised on appeal for the first time.  The Ontario Court of Appeal noted that a</w:t>
      </w:r>
      <w:r w:rsidR="00444416" w:rsidRPr="00444416">
        <w:rPr>
          <w:color w:val="000000"/>
          <w:sz w:val="28"/>
          <w:szCs w:val="28"/>
        </w:rPr>
        <w:t xml:space="preserve">n </w:t>
      </w:r>
      <w:r>
        <w:rPr>
          <w:color w:val="000000"/>
          <w:sz w:val="28"/>
          <w:szCs w:val="28"/>
        </w:rPr>
        <w:t>“</w:t>
      </w:r>
      <w:r w:rsidR="00444416" w:rsidRPr="00444416">
        <w:rPr>
          <w:color w:val="000000"/>
          <w:sz w:val="28"/>
          <w:szCs w:val="28"/>
        </w:rPr>
        <w:t xml:space="preserve">allegation of reasonable apprehension of bias calls into question not simply the personal integrity of the judge, but the integrity of the entire administration of justice. Judges start with a </w:t>
      </w:r>
      <w:r w:rsidR="00444416" w:rsidRPr="00444416">
        <w:rPr>
          <w:color w:val="000000"/>
          <w:sz w:val="28"/>
          <w:szCs w:val="28"/>
        </w:rPr>
        <w:lastRenderedPageBreak/>
        <w:t xml:space="preserve">presumption of impartiality. </w:t>
      </w:r>
      <w:r w:rsidR="0040541B">
        <w:rPr>
          <w:color w:val="000000"/>
          <w:sz w:val="28"/>
          <w:szCs w:val="28"/>
        </w:rPr>
        <w:t xml:space="preserve"> </w:t>
      </w:r>
      <w:r w:rsidR="00444416" w:rsidRPr="00444416">
        <w:rPr>
          <w:color w:val="000000"/>
          <w:sz w:val="28"/>
          <w:szCs w:val="28"/>
        </w:rPr>
        <w:t>Where the ground is raised for the first time on appeal in circumstances where there is no record below, this court must exercise great caution</w:t>
      </w:r>
      <w:r w:rsidR="007B3B69" w:rsidRPr="007B3B69">
        <w:rPr>
          <w:color w:val="000000"/>
          <w:sz w:val="28"/>
          <w:szCs w:val="28"/>
        </w:rPr>
        <w:t>.</w:t>
      </w:r>
      <w:r w:rsidR="0040541B">
        <w:rPr>
          <w:color w:val="000000"/>
          <w:sz w:val="28"/>
          <w:szCs w:val="28"/>
        </w:rPr>
        <w:t>”  The Court of Appeal stressed the importance of an evidentiary foundation being laid and indicated that w</w:t>
      </w:r>
      <w:r w:rsidR="007B3B69" w:rsidRPr="007B3B69">
        <w:rPr>
          <w:color w:val="000000"/>
          <w:sz w:val="28"/>
          <w:szCs w:val="28"/>
        </w:rPr>
        <w:t xml:space="preserve">here </w:t>
      </w:r>
      <w:r w:rsidR="0040541B">
        <w:rPr>
          <w:color w:val="000000"/>
          <w:sz w:val="28"/>
          <w:szCs w:val="28"/>
        </w:rPr>
        <w:t>“</w:t>
      </w:r>
      <w:r w:rsidR="007B3B69" w:rsidRPr="007B3B69">
        <w:rPr>
          <w:color w:val="000000"/>
          <w:sz w:val="28"/>
          <w:szCs w:val="28"/>
        </w:rPr>
        <w:t xml:space="preserve">counsel in the court below is of the view that the trial judge, or in this case, the motion judge, is exhibiting </w:t>
      </w:r>
      <w:proofErr w:type="gramStart"/>
      <w:r w:rsidR="007B3B69" w:rsidRPr="007B3B69">
        <w:rPr>
          <w:color w:val="000000"/>
          <w:sz w:val="28"/>
          <w:szCs w:val="28"/>
        </w:rPr>
        <w:t>bias,</w:t>
      </w:r>
      <w:proofErr w:type="gramEnd"/>
      <w:r w:rsidR="007B3B69" w:rsidRPr="007B3B69">
        <w:rPr>
          <w:color w:val="000000"/>
          <w:sz w:val="28"/>
          <w:szCs w:val="28"/>
        </w:rPr>
        <w:t xml:space="preserve"> they have the obligation to raise it with the judge below at the time. </w:t>
      </w:r>
      <w:r w:rsidR="00132A05">
        <w:rPr>
          <w:color w:val="000000"/>
          <w:sz w:val="28"/>
          <w:szCs w:val="28"/>
        </w:rPr>
        <w:t xml:space="preserve"> </w:t>
      </w:r>
      <w:r w:rsidR="007B3B69" w:rsidRPr="007B3B69">
        <w:rPr>
          <w:color w:val="000000"/>
          <w:sz w:val="28"/>
          <w:szCs w:val="28"/>
        </w:rPr>
        <w:t xml:space="preserve">At that point, a record will become available and the judge will make a ruling - both of which will then be available for this court to review. </w:t>
      </w:r>
      <w:r w:rsidR="00132A05">
        <w:rPr>
          <w:color w:val="000000"/>
          <w:sz w:val="28"/>
          <w:szCs w:val="28"/>
        </w:rPr>
        <w:t xml:space="preserve"> </w:t>
      </w:r>
      <w:r w:rsidR="007B3B69" w:rsidRPr="007B3B69">
        <w:rPr>
          <w:color w:val="000000"/>
          <w:sz w:val="28"/>
          <w:szCs w:val="28"/>
        </w:rPr>
        <w:t>That was not done here and the motion judge was not alerted to this issue, now raised for the first time on appeal.</w:t>
      </w:r>
      <w:r w:rsidRPr="007B3B69">
        <w:rPr>
          <w:color w:val="000000"/>
          <w:sz w:val="28"/>
          <w:szCs w:val="28"/>
        </w:rPr>
        <w:t>”</w:t>
      </w:r>
      <w:r w:rsidR="00EE597A">
        <w:rPr>
          <w:color w:val="000000"/>
          <w:sz w:val="28"/>
          <w:szCs w:val="28"/>
        </w:rPr>
        <w:t xml:space="preserve">  Also see </w:t>
      </w:r>
      <w:r w:rsidR="00EE597A" w:rsidRPr="00EE597A">
        <w:rPr>
          <w:b/>
          <w:i/>
          <w:iCs/>
          <w:sz w:val="28"/>
          <w:szCs w:val="28"/>
        </w:rPr>
        <w:t>R. v. Sydel</w:t>
      </w:r>
      <w:r w:rsidR="00EE597A">
        <w:rPr>
          <w:iCs/>
          <w:sz w:val="28"/>
          <w:szCs w:val="28"/>
        </w:rPr>
        <w:t>, 2010 BCSC 1470.</w:t>
      </w:r>
    </w:p>
    <w:p w:rsidR="004C5DE6" w:rsidRDefault="00AF125C" w:rsidP="00161650">
      <w:pPr>
        <w:spacing w:line="480" w:lineRule="auto"/>
        <w:ind w:firstLine="720"/>
        <w:jc w:val="both"/>
        <w:rPr>
          <w:iCs/>
          <w:sz w:val="28"/>
          <w:szCs w:val="28"/>
        </w:rPr>
      </w:pPr>
      <w:r w:rsidRPr="00AF125C">
        <w:rPr>
          <w:sz w:val="28"/>
          <w:szCs w:val="28"/>
        </w:rPr>
        <w:t>In</w:t>
      </w:r>
      <w:r w:rsidRPr="00AF125C">
        <w:rPr>
          <w:b/>
          <w:sz w:val="28"/>
          <w:szCs w:val="28"/>
        </w:rPr>
        <w:t xml:space="preserve"> </w:t>
      </w:r>
      <w:r w:rsidRPr="00AF125C">
        <w:rPr>
          <w:b/>
          <w:i/>
          <w:sz w:val="28"/>
          <w:szCs w:val="28"/>
        </w:rPr>
        <w:t>R. v. G.W.</w:t>
      </w:r>
      <w:r w:rsidR="004C5DE6">
        <w:rPr>
          <w:sz w:val="28"/>
          <w:szCs w:val="28"/>
        </w:rPr>
        <w:t xml:space="preserve">, </w:t>
      </w:r>
      <w:r w:rsidRPr="00AF125C">
        <w:rPr>
          <w:sz w:val="28"/>
          <w:szCs w:val="28"/>
        </w:rPr>
        <w:t xml:space="preserve">[1992] 2 S.C.R. 597, </w:t>
      </w:r>
      <w:r w:rsidR="00384AF6">
        <w:rPr>
          <w:sz w:val="28"/>
          <w:szCs w:val="28"/>
        </w:rPr>
        <w:t xml:space="preserve">the Court of Appeal </w:t>
      </w:r>
      <w:r w:rsidR="0066730C">
        <w:rPr>
          <w:sz w:val="28"/>
          <w:szCs w:val="28"/>
        </w:rPr>
        <w:t>considered</w:t>
      </w:r>
      <w:r w:rsidR="006E38C6">
        <w:rPr>
          <w:sz w:val="28"/>
          <w:szCs w:val="28"/>
        </w:rPr>
        <w:t xml:space="preserve"> </w:t>
      </w:r>
      <w:r w:rsidR="0066730C">
        <w:rPr>
          <w:sz w:val="28"/>
          <w:szCs w:val="28"/>
        </w:rPr>
        <w:t xml:space="preserve"> </w:t>
      </w:r>
      <w:r w:rsidR="00384AF6">
        <w:rPr>
          <w:sz w:val="28"/>
          <w:szCs w:val="28"/>
        </w:rPr>
        <w:t xml:space="preserve"> the issue of the fitness of the sentence imposed upon the accused on its own motion.  On appeal, </w:t>
      </w:r>
      <w:r w:rsidRPr="00AF125C">
        <w:rPr>
          <w:sz w:val="28"/>
          <w:szCs w:val="28"/>
        </w:rPr>
        <w:t xml:space="preserve">the Supreme Court of Canada held that an appeal court did not have the authority to consider the fitness of sentence on its own motion.  The Court also </w:t>
      </w:r>
      <w:r w:rsidR="00384AF6">
        <w:rPr>
          <w:sz w:val="28"/>
          <w:szCs w:val="28"/>
        </w:rPr>
        <w:t xml:space="preserve">considered </w:t>
      </w:r>
      <w:r w:rsidRPr="00AF125C">
        <w:rPr>
          <w:sz w:val="28"/>
          <w:szCs w:val="28"/>
        </w:rPr>
        <w:t>whether doing so raised a reasonable apprehension of bias</w:t>
      </w:r>
      <w:r w:rsidR="00384AF6">
        <w:rPr>
          <w:sz w:val="28"/>
          <w:szCs w:val="28"/>
        </w:rPr>
        <w:t xml:space="preserve">.  </w:t>
      </w:r>
      <w:r w:rsidRPr="00AF125C">
        <w:rPr>
          <w:iCs/>
          <w:sz w:val="28"/>
          <w:szCs w:val="28"/>
        </w:rPr>
        <w:t xml:space="preserve">The </w:t>
      </w:r>
      <w:r w:rsidR="00384AF6">
        <w:rPr>
          <w:iCs/>
          <w:sz w:val="28"/>
          <w:szCs w:val="28"/>
        </w:rPr>
        <w:t>Court</w:t>
      </w:r>
      <w:r w:rsidRPr="00AF125C">
        <w:rPr>
          <w:iCs/>
          <w:sz w:val="28"/>
          <w:szCs w:val="28"/>
        </w:rPr>
        <w:t xml:space="preserve"> concluded that the Court of Appeal’s judgment raised a reasonable apprehension of bias because the panel had expressed concerns about the appropriateness of the sentence that had been imposed in the absence of argument and that therefore “the respondent’s </w:t>
      </w:r>
      <w:r w:rsidRPr="00AF125C">
        <w:rPr>
          <w:iCs/>
          <w:sz w:val="28"/>
          <w:szCs w:val="28"/>
        </w:rPr>
        <w:lastRenderedPageBreak/>
        <w:t>application for leave to appeal the sentence should proceed before a differently constituted panel of the Court of Appeal</w:t>
      </w:r>
      <w:r w:rsidR="00384AF6">
        <w:rPr>
          <w:iCs/>
          <w:sz w:val="28"/>
          <w:szCs w:val="28"/>
        </w:rPr>
        <w:t>.</w:t>
      </w:r>
      <w:r w:rsidRPr="00AF125C">
        <w:rPr>
          <w:iCs/>
          <w:sz w:val="28"/>
          <w:szCs w:val="28"/>
        </w:rPr>
        <w:t xml:space="preserve">”  The Supreme Court of Canada also cautioned against </w:t>
      </w:r>
      <w:r w:rsidR="006E38C6">
        <w:rPr>
          <w:iCs/>
          <w:sz w:val="28"/>
          <w:szCs w:val="28"/>
        </w:rPr>
        <w:t>c</w:t>
      </w:r>
      <w:r w:rsidRPr="00AF125C">
        <w:rPr>
          <w:iCs/>
          <w:sz w:val="28"/>
          <w:szCs w:val="28"/>
        </w:rPr>
        <w:t xml:space="preserve">ourts of </w:t>
      </w:r>
      <w:r w:rsidR="006E38C6">
        <w:rPr>
          <w:iCs/>
          <w:sz w:val="28"/>
          <w:szCs w:val="28"/>
        </w:rPr>
        <w:t>a</w:t>
      </w:r>
      <w:r w:rsidRPr="00AF125C">
        <w:rPr>
          <w:iCs/>
          <w:sz w:val="28"/>
          <w:szCs w:val="28"/>
        </w:rPr>
        <w:t xml:space="preserve">ppeal “inviting” counsel, on conviction appeals, to appeal from sentence (“only in the rarest of circumstances”). </w:t>
      </w:r>
      <w:r w:rsidR="00384AF6">
        <w:rPr>
          <w:iCs/>
          <w:sz w:val="28"/>
          <w:szCs w:val="28"/>
        </w:rPr>
        <w:t xml:space="preserve"> </w:t>
      </w:r>
      <w:r w:rsidRPr="00AF125C">
        <w:rPr>
          <w:iCs/>
          <w:sz w:val="28"/>
          <w:szCs w:val="28"/>
        </w:rPr>
        <w:t xml:space="preserve">The </w:t>
      </w:r>
      <w:r w:rsidR="00384AF6">
        <w:rPr>
          <w:iCs/>
          <w:sz w:val="28"/>
          <w:szCs w:val="28"/>
        </w:rPr>
        <w:t>C</w:t>
      </w:r>
      <w:r w:rsidRPr="00AF125C">
        <w:rPr>
          <w:iCs/>
          <w:sz w:val="28"/>
          <w:szCs w:val="28"/>
        </w:rPr>
        <w:t>ourt concluded that Courts of Appeal should refrain from doing so unless “...the sentence is so clearly unreasonable or demonstrably unfit as to indicate possible oversight on the part of counsel or an unrepresented accused</w:t>
      </w:r>
      <w:r w:rsidR="00384AF6">
        <w:rPr>
          <w:iCs/>
          <w:sz w:val="28"/>
          <w:szCs w:val="28"/>
        </w:rPr>
        <w:t>.</w:t>
      </w:r>
      <w:r w:rsidRPr="00AF125C">
        <w:rPr>
          <w:iCs/>
          <w:sz w:val="28"/>
          <w:szCs w:val="28"/>
        </w:rPr>
        <w:t>”</w:t>
      </w:r>
    </w:p>
    <w:p w:rsidR="00AF125C" w:rsidRDefault="00AF125C" w:rsidP="00161650">
      <w:pPr>
        <w:spacing w:line="480" w:lineRule="auto"/>
        <w:ind w:firstLine="720"/>
        <w:jc w:val="both"/>
        <w:rPr>
          <w:iCs/>
          <w:sz w:val="28"/>
          <w:szCs w:val="28"/>
        </w:rPr>
      </w:pPr>
      <w:r w:rsidRPr="00AF125C">
        <w:rPr>
          <w:iCs/>
          <w:sz w:val="28"/>
          <w:szCs w:val="28"/>
        </w:rPr>
        <w:t xml:space="preserve">In </w:t>
      </w:r>
      <w:r w:rsidRPr="004C5DE6">
        <w:rPr>
          <w:b/>
          <w:bCs/>
          <w:i/>
          <w:iCs/>
          <w:sz w:val="28"/>
          <w:szCs w:val="28"/>
        </w:rPr>
        <w:t>R. v. J.L.M.A.</w:t>
      </w:r>
      <w:r w:rsidR="004C5DE6" w:rsidRPr="004C5DE6">
        <w:rPr>
          <w:bCs/>
          <w:iCs/>
          <w:sz w:val="28"/>
          <w:szCs w:val="28"/>
        </w:rPr>
        <w:t xml:space="preserve"> </w:t>
      </w:r>
      <w:r w:rsidR="004C5DE6">
        <w:rPr>
          <w:bCs/>
          <w:iCs/>
          <w:sz w:val="28"/>
          <w:szCs w:val="28"/>
        </w:rPr>
        <w:t>[</w:t>
      </w:r>
      <w:r w:rsidR="004C5DE6" w:rsidRPr="004C69A2">
        <w:rPr>
          <w:bCs/>
          <w:iCs/>
          <w:sz w:val="28"/>
          <w:szCs w:val="28"/>
        </w:rPr>
        <w:t>2009</w:t>
      </w:r>
      <w:r w:rsidR="004C5DE6">
        <w:rPr>
          <w:bCs/>
          <w:iCs/>
          <w:sz w:val="28"/>
          <w:szCs w:val="28"/>
        </w:rPr>
        <w:t>] A.J. No. 1148</w:t>
      </w:r>
      <w:r w:rsidR="006E38C6">
        <w:rPr>
          <w:bCs/>
          <w:iCs/>
          <w:sz w:val="28"/>
          <w:szCs w:val="28"/>
        </w:rPr>
        <w:t xml:space="preserve"> (</w:t>
      </w:r>
      <w:smartTag w:uri="urn:schemas-microsoft-com:office:smarttags" w:element="place">
        <w:smartTag w:uri="urn:schemas-microsoft-com:office:smarttags" w:element="country-region">
          <w:r w:rsidR="006E38C6">
            <w:rPr>
              <w:bCs/>
              <w:iCs/>
              <w:sz w:val="28"/>
              <w:szCs w:val="28"/>
            </w:rPr>
            <w:t>C.A.</w:t>
          </w:r>
        </w:smartTag>
      </w:smartTag>
      <w:r w:rsidR="006E38C6">
        <w:rPr>
          <w:bCs/>
          <w:iCs/>
          <w:sz w:val="28"/>
          <w:szCs w:val="28"/>
        </w:rPr>
        <w:t>)</w:t>
      </w:r>
      <w:r w:rsidRPr="00AF125C">
        <w:rPr>
          <w:iCs/>
          <w:sz w:val="28"/>
          <w:szCs w:val="28"/>
        </w:rPr>
        <w:t xml:space="preserve">, </w:t>
      </w:r>
      <w:r w:rsidR="004C5DE6">
        <w:rPr>
          <w:iCs/>
          <w:sz w:val="28"/>
          <w:szCs w:val="28"/>
        </w:rPr>
        <w:t xml:space="preserve">the respondent asked that four </w:t>
      </w:r>
      <w:r w:rsidRPr="00AF125C">
        <w:rPr>
          <w:iCs/>
          <w:sz w:val="28"/>
          <w:szCs w:val="28"/>
        </w:rPr>
        <w:t xml:space="preserve">members of a </w:t>
      </w:r>
      <w:r w:rsidR="004C5DE6">
        <w:rPr>
          <w:iCs/>
          <w:sz w:val="28"/>
          <w:szCs w:val="28"/>
        </w:rPr>
        <w:t xml:space="preserve">five member </w:t>
      </w:r>
      <w:r w:rsidRPr="00AF125C">
        <w:rPr>
          <w:iCs/>
          <w:sz w:val="28"/>
          <w:szCs w:val="28"/>
        </w:rPr>
        <w:t xml:space="preserve">panel of the Court of Appeal </w:t>
      </w:r>
      <w:r w:rsidR="004C5DE6">
        <w:rPr>
          <w:iCs/>
          <w:sz w:val="28"/>
          <w:szCs w:val="28"/>
        </w:rPr>
        <w:t xml:space="preserve">which were assigned to hear the appeal </w:t>
      </w:r>
      <w:r w:rsidRPr="00AF125C">
        <w:rPr>
          <w:iCs/>
          <w:sz w:val="28"/>
          <w:szCs w:val="28"/>
        </w:rPr>
        <w:t xml:space="preserve">to recuse </w:t>
      </w:r>
      <w:proofErr w:type="gramStart"/>
      <w:r w:rsidRPr="00AF125C">
        <w:rPr>
          <w:iCs/>
          <w:sz w:val="28"/>
          <w:szCs w:val="28"/>
        </w:rPr>
        <w:t>themselves</w:t>
      </w:r>
      <w:proofErr w:type="gramEnd"/>
      <w:r w:rsidRPr="00AF125C">
        <w:rPr>
          <w:iCs/>
          <w:sz w:val="28"/>
          <w:szCs w:val="28"/>
        </w:rPr>
        <w:t>.  The issue was described by the Court of Appeal as follows:</w:t>
      </w:r>
    </w:p>
    <w:p w:rsidR="00AF125C" w:rsidRDefault="00AF125C" w:rsidP="00161650">
      <w:pPr>
        <w:ind w:left="720"/>
        <w:jc w:val="both"/>
        <w:rPr>
          <w:iCs/>
          <w:sz w:val="28"/>
          <w:szCs w:val="28"/>
        </w:rPr>
      </w:pPr>
      <w:r w:rsidRPr="00AF125C">
        <w:rPr>
          <w:iCs/>
          <w:sz w:val="28"/>
          <w:szCs w:val="28"/>
        </w:rPr>
        <w:t>So an important legal question is whether an appellate judge is disqualified by bias from sitting on an appeal panel because he or she previously expressed an opinion in a previous unrelated appeal on some topic likely to arise in the present appeal, even the proper law of precedent. Is it relevant also how he or she expressed that opinion?</w:t>
      </w:r>
    </w:p>
    <w:p w:rsidR="00016B2A" w:rsidRDefault="00016B2A" w:rsidP="00161650">
      <w:pPr>
        <w:jc w:val="both"/>
        <w:rPr>
          <w:iCs/>
          <w:sz w:val="28"/>
          <w:szCs w:val="28"/>
        </w:rPr>
      </w:pPr>
    </w:p>
    <w:p w:rsidR="00404A06" w:rsidRDefault="00016B2A" w:rsidP="00161650">
      <w:pPr>
        <w:spacing w:line="480" w:lineRule="auto"/>
        <w:ind w:firstLine="720"/>
        <w:jc w:val="both"/>
        <w:rPr>
          <w:iCs/>
          <w:sz w:val="28"/>
          <w:szCs w:val="28"/>
        </w:rPr>
      </w:pPr>
      <w:r>
        <w:rPr>
          <w:iCs/>
          <w:sz w:val="28"/>
          <w:szCs w:val="28"/>
        </w:rPr>
        <w:t xml:space="preserve">Several judgments were filed, but all concluded that there was no basis for any of the </w:t>
      </w:r>
      <w:r w:rsidR="004C5DE6">
        <w:rPr>
          <w:iCs/>
          <w:sz w:val="28"/>
          <w:szCs w:val="28"/>
        </w:rPr>
        <w:t>members</w:t>
      </w:r>
      <w:r>
        <w:rPr>
          <w:iCs/>
          <w:sz w:val="28"/>
          <w:szCs w:val="28"/>
        </w:rPr>
        <w:t xml:space="preserve"> of the panel to recuse themselves.</w:t>
      </w:r>
      <w:r w:rsidR="004C5DE6">
        <w:rPr>
          <w:iCs/>
          <w:sz w:val="28"/>
          <w:szCs w:val="28"/>
        </w:rPr>
        <w:t xml:space="preserve"> The following comments are illustrative of the Court’s conclusion:</w:t>
      </w:r>
    </w:p>
    <w:p w:rsidR="00016B2A" w:rsidRDefault="00404A06" w:rsidP="00161650">
      <w:pPr>
        <w:ind w:left="720"/>
        <w:jc w:val="both"/>
        <w:rPr>
          <w:iCs/>
          <w:sz w:val="28"/>
          <w:szCs w:val="28"/>
        </w:rPr>
      </w:pPr>
      <w:r w:rsidRPr="00404A06">
        <w:rPr>
          <w:color w:val="000000"/>
          <w:sz w:val="28"/>
          <w:szCs w:val="28"/>
        </w:rPr>
        <w:t xml:space="preserve">Most of my judgments impugned on this motion, and a number of precedents relied on by the Crown in this appeal, are reserved decisions of the Court of Appeal. All such judgments have been circulated to the entire Court (in draft form) for comment and </w:t>
      </w:r>
      <w:r w:rsidRPr="00404A06">
        <w:rPr>
          <w:color w:val="000000"/>
          <w:sz w:val="28"/>
          <w:szCs w:val="28"/>
        </w:rPr>
        <w:lastRenderedPageBreak/>
        <w:t>discussion on the law. It is safe to conclude that many (or most) of the judges on the Court expressed some sort of an opinion about the draft, and were listened to. The logic of the respondent</w:t>
      </w:r>
      <w:smartTag w:uri="urn:schemas-microsoft-com:office:smarttags" w:element="PersonName">
        <w:r w:rsidRPr="00404A06">
          <w:rPr>
            <w:color w:val="000000"/>
            <w:sz w:val="28"/>
            <w:szCs w:val="28"/>
          </w:rPr>
          <w:t>'</w:t>
        </w:r>
      </w:smartTag>
      <w:r w:rsidRPr="00404A06">
        <w:rPr>
          <w:color w:val="000000"/>
          <w:sz w:val="28"/>
          <w:szCs w:val="28"/>
        </w:rPr>
        <w:t xml:space="preserve">s motion would exclude every judge then on the Court from sitting on the present appeal. See </w:t>
      </w:r>
      <w:r w:rsidRPr="00404A06">
        <w:rPr>
          <w:rStyle w:val="bold1"/>
          <w:i/>
          <w:iCs/>
          <w:color w:val="000000"/>
          <w:sz w:val="28"/>
          <w:szCs w:val="28"/>
        </w:rPr>
        <w:t xml:space="preserve">Boardwalk Reit v. </w:t>
      </w:r>
      <w:smartTag w:uri="urn:schemas-microsoft-com:office:smarttags" w:element="place">
        <w:smartTag w:uri="urn:schemas-microsoft-com:office:smarttags" w:element="City">
          <w:r w:rsidRPr="00404A06">
            <w:rPr>
              <w:rStyle w:val="bold1"/>
              <w:i/>
              <w:iCs/>
              <w:color w:val="000000"/>
              <w:sz w:val="28"/>
              <w:szCs w:val="28"/>
            </w:rPr>
            <w:t>Edmonton</w:t>
          </w:r>
        </w:smartTag>
      </w:smartTag>
      <w:r w:rsidRPr="00404A06">
        <w:rPr>
          <w:rStyle w:val="bold1"/>
          <w:i/>
          <w:iCs/>
          <w:color w:val="000000"/>
          <w:sz w:val="28"/>
          <w:szCs w:val="28"/>
        </w:rPr>
        <w:t xml:space="preserve"> (#1)</w:t>
      </w:r>
      <w:r w:rsidRPr="00404A06">
        <w:rPr>
          <w:color w:val="000000"/>
          <w:sz w:val="28"/>
          <w:szCs w:val="28"/>
        </w:rPr>
        <w:t xml:space="preserve">, </w:t>
      </w:r>
      <w:r w:rsidRPr="00404A06">
        <w:rPr>
          <w:rStyle w:val="italic1"/>
          <w:color w:val="000000"/>
          <w:sz w:val="28"/>
          <w:szCs w:val="28"/>
        </w:rPr>
        <w:t>supra</w:t>
      </w:r>
      <w:r w:rsidRPr="00404A06">
        <w:rPr>
          <w:color w:val="000000"/>
          <w:sz w:val="28"/>
          <w:szCs w:val="28"/>
        </w:rPr>
        <w:t xml:space="preserve"> (para. 88). So there would not be 12, </w:t>
      </w:r>
      <w:proofErr w:type="gramStart"/>
      <w:r w:rsidRPr="00404A06">
        <w:rPr>
          <w:color w:val="000000"/>
          <w:sz w:val="28"/>
          <w:szCs w:val="28"/>
        </w:rPr>
        <w:t>nor</w:t>
      </w:r>
      <w:proofErr w:type="gramEnd"/>
      <w:r w:rsidRPr="00404A06">
        <w:rPr>
          <w:color w:val="000000"/>
          <w:sz w:val="28"/>
          <w:szCs w:val="28"/>
        </w:rPr>
        <w:t xml:space="preserve"> even 9 judges, free of the alleged taint and available to sit; there might be only two or three. Such a disqualification rule would be unworkable on courts which circulate drafts of judgments making new law, which is all but two or three of the appeal courts in </w:t>
      </w:r>
      <w:smartTag w:uri="urn:schemas-microsoft-com:office:smarttags" w:element="country-region">
        <w:smartTag w:uri="urn:schemas-microsoft-com:office:smarttags" w:element="place">
          <w:r w:rsidRPr="00404A06">
            <w:rPr>
              <w:color w:val="000000"/>
              <w:sz w:val="28"/>
              <w:szCs w:val="28"/>
            </w:rPr>
            <w:t>Canada</w:t>
          </w:r>
        </w:smartTag>
      </w:smartTag>
      <w:r w:rsidRPr="00404A06">
        <w:rPr>
          <w:color w:val="000000"/>
          <w:sz w:val="28"/>
          <w:szCs w:val="28"/>
        </w:rPr>
        <w:t>.</w:t>
      </w:r>
      <w:r w:rsidR="00016B2A" w:rsidRPr="00404A06">
        <w:rPr>
          <w:iCs/>
          <w:sz w:val="28"/>
          <w:szCs w:val="28"/>
        </w:rPr>
        <w:t xml:space="preserve"> </w:t>
      </w:r>
      <w:r>
        <w:rPr>
          <w:iCs/>
          <w:sz w:val="28"/>
          <w:szCs w:val="28"/>
        </w:rPr>
        <w:t>[</w:t>
      </w:r>
      <w:proofErr w:type="gramStart"/>
      <w:r>
        <w:rPr>
          <w:iCs/>
          <w:sz w:val="28"/>
          <w:szCs w:val="28"/>
        </w:rPr>
        <w:t>paragraph</w:t>
      </w:r>
      <w:proofErr w:type="gramEnd"/>
      <w:r>
        <w:rPr>
          <w:iCs/>
          <w:sz w:val="28"/>
          <w:szCs w:val="28"/>
        </w:rPr>
        <w:t xml:space="preserve"> 34]</w:t>
      </w:r>
    </w:p>
    <w:p w:rsidR="00483449" w:rsidRDefault="00483449" w:rsidP="00161650">
      <w:pPr>
        <w:jc w:val="both"/>
        <w:rPr>
          <w:iCs/>
          <w:sz w:val="28"/>
          <w:szCs w:val="28"/>
        </w:rPr>
      </w:pPr>
    </w:p>
    <w:p w:rsidR="00483449" w:rsidRDefault="00483449" w:rsidP="00161650">
      <w:pPr>
        <w:ind w:left="720"/>
        <w:jc w:val="both"/>
        <w:rPr>
          <w:color w:val="000000"/>
          <w:sz w:val="28"/>
          <w:szCs w:val="28"/>
        </w:rPr>
      </w:pPr>
      <w:r w:rsidRPr="00483449">
        <w:rPr>
          <w:color w:val="000000"/>
          <w:sz w:val="28"/>
          <w:szCs w:val="28"/>
        </w:rPr>
        <w:t>Judges</w:t>
      </w:r>
      <w:smartTag w:uri="urn:schemas-microsoft-com:office:smarttags" w:element="PersonName">
        <w:r w:rsidRPr="00483449">
          <w:rPr>
            <w:color w:val="000000"/>
            <w:sz w:val="28"/>
            <w:szCs w:val="28"/>
          </w:rPr>
          <w:t>'</w:t>
        </w:r>
      </w:smartTag>
      <w:r w:rsidRPr="00483449">
        <w:rPr>
          <w:color w:val="000000"/>
          <w:sz w:val="28"/>
          <w:szCs w:val="28"/>
        </w:rPr>
        <w:t xml:space="preserve"> careers tend to last 20 or more years. Now judges are expected to give recorded reasons on facts and law in almost all cases, whether the point is novel or trite. So over his or her career, a judge will pronounce on tens of thousands of questions of fact or law. Some legal topics are constantly litigated, and some are very popular at a given time. Unless a judge did not sit on any bench until recently, the respondent</w:t>
      </w:r>
      <w:smartTag w:uri="urn:schemas-microsoft-com:office:smarttags" w:element="PersonName">
        <w:r w:rsidRPr="00483449">
          <w:rPr>
            <w:color w:val="000000"/>
            <w:sz w:val="28"/>
            <w:szCs w:val="28"/>
          </w:rPr>
          <w:t>'</w:t>
        </w:r>
      </w:smartTag>
      <w:r w:rsidRPr="00483449">
        <w:rPr>
          <w:color w:val="000000"/>
          <w:sz w:val="28"/>
          <w:szCs w:val="28"/>
        </w:rPr>
        <w:t>s submissions would disqualify the judge from touching any case involving any of many thousands of topics. That rule would lead to many abortive trials and appeals, and constant searches for the judge</w:t>
      </w:r>
      <w:smartTag w:uri="urn:schemas-microsoft-com:office:smarttags" w:element="PersonName">
        <w:r w:rsidRPr="00483449">
          <w:rPr>
            <w:color w:val="000000"/>
            <w:sz w:val="28"/>
            <w:szCs w:val="28"/>
          </w:rPr>
          <w:t>'</w:t>
        </w:r>
      </w:smartTag>
      <w:r w:rsidRPr="00483449">
        <w:rPr>
          <w:color w:val="000000"/>
          <w:sz w:val="28"/>
          <w:szCs w:val="28"/>
        </w:rPr>
        <w:t>s past track record. In many cases, no judge could sit with confidence on the trial or appeal. Such disqualifying previous opinions might be discovered only after the new judgment. The newest judges would be busy, and the senior judges would have little work to do. New judges would be disqualified for interest, and more senior ones for opinion. The whole system would soon become unworkable.</w:t>
      </w:r>
      <w:r>
        <w:rPr>
          <w:color w:val="000000"/>
          <w:sz w:val="28"/>
          <w:szCs w:val="28"/>
        </w:rPr>
        <w:t xml:space="preserve"> [</w:t>
      </w:r>
      <w:proofErr w:type="gramStart"/>
      <w:r>
        <w:rPr>
          <w:color w:val="000000"/>
          <w:sz w:val="28"/>
          <w:szCs w:val="28"/>
        </w:rPr>
        <w:t>paragraph</w:t>
      </w:r>
      <w:proofErr w:type="gramEnd"/>
      <w:r>
        <w:rPr>
          <w:color w:val="000000"/>
          <w:sz w:val="28"/>
          <w:szCs w:val="28"/>
        </w:rPr>
        <w:t xml:space="preserve"> 36]</w:t>
      </w:r>
    </w:p>
    <w:p w:rsidR="00F55AC8" w:rsidRDefault="00F55AC8" w:rsidP="00161650">
      <w:pPr>
        <w:jc w:val="both"/>
        <w:rPr>
          <w:color w:val="000000"/>
          <w:sz w:val="28"/>
          <w:szCs w:val="28"/>
        </w:rPr>
      </w:pPr>
    </w:p>
    <w:p w:rsidR="00DD431F" w:rsidRDefault="00F55AC8" w:rsidP="00161650">
      <w:pPr>
        <w:ind w:left="720"/>
        <w:jc w:val="both"/>
        <w:rPr>
          <w:sz w:val="28"/>
          <w:szCs w:val="28"/>
        </w:rPr>
      </w:pPr>
      <w:r w:rsidRPr="00F55AC8">
        <w:rPr>
          <w:sz w:val="28"/>
          <w:szCs w:val="28"/>
        </w:rPr>
        <w:t xml:space="preserve">In the end, it is this simple. Having previously expressed an opinion on a point of law does not create a reasonable apprehension of bias, and therefore does not justify recusal. See for example: </w:t>
      </w:r>
      <w:r w:rsidRPr="00F55AC8">
        <w:rPr>
          <w:rStyle w:val="bold1"/>
          <w:i/>
          <w:iCs/>
          <w:sz w:val="28"/>
          <w:szCs w:val="28"/>
        </w:rPr>
        <w:t>Broda v. Broda</w:t>
      </w:r>
      <w:r w:rsidRPr="00F55AC8">
        <w:rPr>
          <w:sz w:val="28"/>
          <w:szCs w:val="28"/>
        </w:rPr>
        <w:t xml:space="preserve">, </w:t>
      </w:r>
      <w:hyperlink r:id="rId10" w:tgtFrame="_parent" w:history="1">
        <w:r w:rsidRPr="00F55AC8">
          <w:rPr>
            <w:rStyle w:val="Hyperlink"/>
            <w:rFonts w:ascii="Times New Roman" w:hAnsi="Times New Roman"/>
            <w:color w:val="auto"/>
            <w:sz w:val="28"/>
            <w:szCs w:val="28"/>
          </w:rPr>
          <w:t>2001 ABCA 151</w:t>
        </w:r>
      </w:hyperlink>
      <w:r w:rsidRPr="00F55AC8">
        <w:rPr>
          <w:sz w:val="28"/>
          <w:szCs w:val="28"/>
        </w:rPr>
        <w:t xml:space="preserve">, </w:t>
      </w:r>
      <w:hyperlink r:id="rId11" w:tgtFrame="_parent" w:history="1">
        <w:r w:rsidRPr="00F55AC8">
          <w:rPr>
            <w:rStyle w:val="Hyperlink"/>
            <w:rFonts w:ascii="Times New Roman" w:hAnsi="Times New Roman"/>
            <w:color w:val="auto"/>
            <w:sz w:val="28"/>
            <w:szCs w:val="28"/>
          </w:rPr>
          <w:t>286 A.R. 120</w:t>
        </w:r>
      </w:hyperlink>
      <w:r w:rsidRPr="00F55AC8">
        <w:rPr>
          <w:sz w:val="28"/>
          <w:szCs w:val="28"/>
        </w:rPr>
        <w:t xml:space="preserve"> at para. </w:t>
      </w:r>
      <w:proofErr w:type="gramStart"/>
      <w:r w:rsidRPr="00F55AC8">
        <w:rPr>
          <w:sz w:val="28"/>
          <w:szCs w:val="28"/>
        </w:rPr>
        <w:t xml:space="preserve">15; </w:t>
      </w:r>
      <w:r w:rsidRPr="00F55AC8">
        <w:rPr>
          <w:rStyle w:val="bold1"/>
          <w:i/>
          <w:iCs/>
          <w:sz w:val="28"/>
          <w:szCs w:val="28"/>
        </w:rPr>
        <w:t>Vivace Tavern Inc. v. Ontario</w:t>
      </w:r>
      <w:r w:rsidRPr="00F55AC8">
        <w:rPr>
          <w:sz w:val="28"/>
          <w:szCs w:val="28"/>
        </w:rPr>
        <w:t xml:space="preserve"> </w:t>
      </w:r>
      <w:hyperlink r:id="rId12" w:tgtFrame="_parent" w:history="1">
        <w:r w:rsidRPr="00F55AC8">
          <w:rPr>
            <w:rStyle w:val="Hyperlink"/>
            <w:rFonts w:ascii="Times New Roman" w:hAnsi="Times New Roman"/>
            <w:color w:val="auto"/>
            <w:sz w:val="28"/>
            <w:szCs w:val="28"/>
          </w:rPr>
          <w:t>(2005), 77 O.R. (3d) 371</w:t>
        </w:r>
      </w:hyperlink>
      <w:r w:rsidRPr="00F55AC8">
        <w:rPr>
          <w:sz w:val="28"/>
          <w:szCs w:val="28"/>
        </w:rPr>
        <w:t xml:space="preserve"> at paras.</w:t>
      </w:r>
      <w:proofErr w:type="gramEnd"/>
      <w:r w:rsidRPr="00F55AC8">
        <w:rPr>
          <w:sz w:val="28"/>
          <w:szCs w:val="28"/>
        </w:rPr>
        <w:t xml:space="preserve"> 4, 5, 12, 23 (S.C.J.); </w:t>
      </w:r>
      <w:r w:rsidRPr="00F55AC8">
        <w:rPr>
          <w:rStyle w:val="bold1"/>
          <w:i/>
          <w:iCs/>
          <w:sz w:val="28"/>
          <w:szCs w:val="28"/>
        </w:rPr>
        <w:t>Tracy (Representative ad litem of) v. Instaloans Financial Solution Centres (B.C.) Ltd.</w:t>
      </w:r>
      <w:r w:rsidRPr="00F55AC8">
        <w:rPr>
          <w:sz w:val="28"/>
          <w:szCs w:val="28"/>
        </w:rPr>
        <w:t xml:space="preserve">, </w:t>
      </w:r>
      <w:hyperlink r:id="rId13" w:tgtFrame="_parent" w:history="1">
        <w:r w:rsidRPr="00F55AC8">
          <w:rPr>
            <w:rStyle w:val="Hyperlink"/>
            <w:rFonts w:ascii="Times New Roman" w:hAnsi="Times New Roman"/>
            <w:color w:val="auto"/>
            <w:sz w:val="28"/>
            <w:szCs w:val="28"/>
          </w:rPr>
          <w:t>2009 BCCA 110</w:t>
        </w:r>
      </w:hyperlink>
      <w:r w:rsidRPr="00F55AC8">
        <w:rPr>
          <w:sz w:val="28"/>
          <w:szCs w:val="28"/>
        </w:rPr>
        <w:t xml:space="preserve">, </w:t>
      </w:r>
      <w:hyperlink r:id="rId14" w:tgtFrame="_parent" w:history="1">
        <w:r w:rsidRPr="00F55AC8">
          <w:rPr>
            <w:rStyle w:val="Hyperlink"/>
            <w:rFonts w:ascii="Times New Roman" w:hAnsi="Times New Roman"/>
            <w:color w:val="auto"/>
            <w:sz w:val="28"/>
            <w:szCs w:val="28"/>
          </w:rPr>
          <w:t>[2009] 4 W.W.R. 236</w:t>
        </w:r>
      </w:hyperlink>
      <w:r w:rsidRPr="00F55AC8">
        <w:rPr>
          <w:sz w:val="28"/>
          <w:szCs w:val="28"/>
        </w:rPr>
        <w:t xml:space="preserve"> at para. 33;</w:t>
      </w:r>
      <w:r w:rsidRPr="00F55AC8">
        <w:rPr>
          <w:rStyle w:val="bold1"/>
          <w:i/>
          <w:iCs/>
          <w:sz w:val="28"/>
          <w:szCs w:val="28"/>
        </w:rPr>
        <w:t>R. v. Trang</w:t>
      </w:r>
      <w:r w:rsidRPr="00F55AC8">
        <w:rPr>
          <w:sz w:val="28"/>
          <w:szCs w:val="28"/>
        </w:rPr>
        <w:t xml:space="preserve">, </w:t>
      </w:r>
      <w:hyperlink r:id="rId15" w:tgtFrame="_parent" w:history="1">
        <w:r w:rsidRPr="00F55AC8">
          <w:rPr>
            <w:rStyle w:val="Hyperlink"/>
            <w:rFonts w:ascii="Times New Roman" w:hAnsi="Times New Roman"/>
            <w:color w:val="auto"/>
            <w:sz w:val="28"/>
            <w:szCs w:val="28"/>
          </w:rPr>
          <w:t>2002 ABQB 1130</w:t>
        </w:r>
      </w:hyperlink>
      <w:r w:rsidRPr="00F55AC8">
        <w:rPr>
          <w:sz w:val="28"/>
          <w:szCs w:val="28"/>
        </w:rPr>
        <w:t xml:space="preserve">, </w:t>
      </w:r>
      <w:hyperlink r:id="rId16" w:tgtFrame="_parent" w:history="1">
        <w:r w:rsidRPr="00F55AC8">
          <w:rPr>
            <w:rStyle w:val="Hyperlink"/>
            <w:rFonts w:ascii="Times New Roman" w:hAnsi="Times New Roman"/>
            <w:color w:val="auto"/>
            <w:sz w:val="28"/>
            <w:szCs w:val="28"/>
          </w:rPr>
          <w:t>332 A.R. 1</w:t>
        </w:r>
      </w:hyperlink>
      <w:r w:rsidRPr="00F55AC8">
        <w:rPr>
          <w:sz w:val="28"/>
          <w:szCs w:val="28"/>
        </w:rPr>
        <w:t xml:space="preserve"> at para. </w:t>
      </w:r>
      <w:proofErr w:type="gramStart"/>
      <w:r w:rsidRPr="00F55AC8">
        <w:rPr>
          <w:sz w:val="28"/>
          <w:szCs w:val="28"/>
        </w:rPr>
        <w:t xml:space="preserve">23; and </w:t>
      </w:r>
      <w:smartTag w:uri="urn:schemas-microsoft-com:office:smarttags" w:element="PlaceName">
        <w:r w:rsidRPr="00F55AC8">
          <w:rPr>
            <w:rStyle w:val="bold1"/>
            <w:i/>
            <w:iCs/>
            <w:sz w:val="28"/>
            <w:szCs w:val="28"/>
          </w:rPr>
          <w:t>Blueberry</w:t>
        </w:r>
      </w:smartTag>
      <w:r w:rsidRPr="00F55AC8">
        <w:rPr>
          <w:rStyle w:val="bold1"/>
          <w:i/>
          <w:iCs/>
          <w:sz w:val="28"/>
          <w:szCs w:val="28"/>
        </w:rPr>
        <w:t xml:space="preserve"> </w:t>
      </w:r>
      <w:smartTag w:uri="urn:schemas-microsoft-com:office:smarttags" w:element="PlaceType">
        <w:r w:rsidRPr="00F55AC8">
          <w:rPr>
            <w:rStyle w:val="bold1"/>
            <w:i/>
            <w:iCs/>
            <w:sz w:val="28"/>
            <w:szCs w:val="28"/>
          </w:rPr>
          <w:t>River</w:t>
        </w:r>
      </w:smartTag>
      <w:r w:rsidRPr="00F55AC8">
        <w:rPr>
          <w:rStyle w:val="bold1"/>
          <w:i/>
          <w:iCs/>
          <w:sz w:val="28"/>
          <w:szCs w:val="28"/>
        </w:rPr>
        <w:t xml:space="preserve"> Indian Band v. </w:t>
      </w:r>
      <w:smartTag w:uri="urn:schemas-microsoft-com:office:smarttags" w:element="place">
        <w:smartTag w:uri="urn:schemas-microsoft-com:office:smarttags" w:element="country-region">
          <w:r w:rsidRPr="00F55AC8">
            <w:rPr>
              <w:rStyle w:val="bold1"/>
              <w:i/>
              <w:iCs/>
              <w:sz w:val="28"/>
              <w:szCs w:val="28"/>
            </w:rPr>
            <w:t>Canada</w:t>
          </w:r>
        </w:smartTag>
      </w:smartTag>
      <w:r w:rsidRPr="00F55AC8">
        <w:rPr>
          <w:rStyle w:val="bold1"/>
          <w:i/>
          <w:iCs/>
          <w:sz w:val="28"/>
          <w:szCs w:val="28"/>
        </w:rPr>
        <w:t xml:space="preserve"> (Department of Indian Affairs and Northern Development)</w:t>
      </w:r>
      <w:r w:rsidRPr="00F55AC8">
        <w:rPr>
          <w:sz w:val="28"/>
          <w:szCs w:val="28"/>
        </w:rPr>
        <w:t xml:space="preserve"> </w:t>
      </w:r>
      <w:hyperlink r:id="rId17" w:tgtFrame="_parent" w:history="1">
        <w:r w:rsidRPr="00F55AC8">
          <w:rPr>
            <w:rStyle w:val="Hyperlink"/>
            <w:rFonts w:ascii="Times New Roman" w:hAnsi="Times New Roman"/>
            <w:color w:val="auto"/>
            <w:sz w:val="28"/>
            <w:szCs w:val="28"/>
          </w:rPr>
          <w:t>(1999), 171 F.T.R. 91</w:t>
        </w:r>
      </w:hyperlink>
      <w:r w:rsidRPr="00F55AC8">
        <w:rPr>
          <w:sz w:val="28"/>
          <w:szCs w:val="28"/>
        </w:rPr>
        <w:t xml:space="preserve"> at para.</w:t>
      </w:r>
      <w:proofErr w:type="gramEnd"/>
      <w:r w:rsidRPr="00F55AC8">
        <w:rPr>
          <w:sz w:val="28"/>
          <w:szCs w:val="28"/>
        </w:rPr>
        <w:t xml:space="preserve"> 9. A point of law includes an interpretation of a court</w:t>
      </w:r>
      <w:smartTag w:uri="urn:schemas-microsoft-com:office:smarttags" w:element="PersonName">
        <w:r w:rsidRPr="00F55AC8">
          <w:rPr>
            <w:sz w:val="28"/>
            <w:szCs w:val="28"/>
          </w:rPr>
          <w:t>'</w:t>
        </w:r>
      </w:smartTag>
      <w:r w:rsidRPr="00F55AC8">
        <w:rPr>
          <w:sz w:val="28"/>
          <w:szCs w:val="28"/>
        </w:rPr>
        <w:t xml:space="preserve">s procedural rules. In turn, in the context of the Alberta Court of Appeal, procedural rules </w:t>
      </w:r>
      <w:r w:rsidRPr="00F55AC8">
        <w:rPr>
          <w:sz w:val="28"/>
          <w:szCs w:val="28"/>
        </w:rPr>
        <w:lastRenderedPageBreak/>
        <w:t>include both Practice Directions and Notices to the Profession adopted by the Court.</w:t>
      </w:r>
      <w:r>
        <w:rPr>
          <w:sz w:val="28"/>
          <w:szCs w:val="28"/>
        </w:rPr>
        <w:t xml:space="preserve"> [</w:t>
      </w:r>
      <w:proofErr w:type="gramStart"/>
      <w:r>
        <w:rPr>
          <w:sz w:val="28"/>
          <w:szCs w:val="28"/>
        </w:rPr>
        <w:t>paragraph</w:t>
      </w:r>
      <w:proofErr w:type="gramEnd"/>
      <w:r>
        <w:rPr>
          <w:sz w:val="28"/>
          <w:szCs w:val="28"/>
        </w:rPr>
        <w:t xml:space="preserve"> 65]</w:t>
      </w:r>
    </w:p>
    <w:p w:rsidR="00320754" w:rsidRDefault="00320754" w:rsidP="00320754">
      <w:pPr>
        <w:jc w:val="both"/>
        <w:rPr>
          <w:sz w:val="28"/>
          <w:szCs w:val="28"/>
        </w:rPr>
      </w:pPr>
    </w:p>
    <w:p w:rsidR="00320754" w:rsidRPr="00320754" w:rsidRDefault="00320754" w:rsidP="00320754">
      <w:pPr>
        <w:spacing w:line="480" w:lineRule="auto"/>
        <w:jc w:val="center"/>
        <w:rPr>
          <w:b/>
          <w:sz w:val="28"/>
          <w:szCs w:val="28"/>
        </w:rPr>
      </w:pPr>
      <w:r w:rsidRPr="00320754">
        <w:rPr>
          <w:b/>
          <w:sz w:val="28"/>
          <w:szCs w:val="28"/>
        </w:rPr>
        <w:t>REMEDY</w:t>
      </w:r>
    </w:p>
    <w:p w:rsidR="00320754" w:rsidRPr="00320754" w:rsidRDefault="00320754" w:rsidP="00320754">
      <w:pPr>
        <w:spacing w:line="480" w:lineRule="auto"/>
        <w:jc w:val="both"/>
        <w:rPr>
          <w:sz w:val="28"/>
          <w:szCs w:val="28"/>
        </w:rPr>
      </w:pPr>
      <w:r>
        <w:rPr>
          <w:sz w:val="28"/>
          <w:szCs w:val="28"/>
        </w:rPr>
        <w:tab/>
        <w:t>In the C.L.Q. paper I noted that the Supreme Court of Canada in</w:t>
      </w:r>
      <w:r w:rsidRPr="00320754">
        <w:rPr>
          <w:b/>
          <w:sz w:val="28"/>
          <w:szCs w:val="28"/>
        </w:rPr>
        <w:t xml:space="preserve"> </w:t>
      </w:r>
      <w:r w:rsidRPr="00320754">
        <w:rPr>
          <w:b/>
          <w:i/>
          <w:iCs/>
          <w:sz w:val="28"/>
          <w:szCs w:val="28"/>
          <w:lang w:val="en-CA"/>
        </w:rPr>
        <w:t>R. v. Curragh Inc</w:t>
      </w:r>
      <w:r w:rsidRPr="00320754">
        <w:rPr>
          <w:i/>
          <w:iCs/>
          <w:sz w:val="28"/>
          <w:szCs w:val="28"/>
          <w:lang w:val="en-CA"/>
        </w:rPr>
        <w:t>.</w:t>
      </w:r>
      <w:r w:rsidRPr="00320754">
        <w:rPr>
          <w:sz w:val="28"/>
          <w:szCs w:val="28"/>
          <w:lang w:val="en-CA"/>
        </w:rPr>
        <w:t>, [1997] 1 S.C.R. 537</w:t>
      </w:r>
      <w:r>
        <w:rPr>
          <w:sz w:val="28"/>
          <w:szCs w:val="28"/>
          <w:lang w:val="en-CA"/>
        </w:rPr>
        <w:t xml:space="preserve">, indicated that when a reasonable apprehension of bias is established the remedy will “ordinarily” be a new trial.   In </w:t>
      </w:r>
      <w:r w:rsidRPr="00320754">
        <w:rPr>
          <w:b/>
          <w:i/>
          <w:sz w:val="28"/>
          <w:szCs w:val="28"/>
          <w:lang w:val="en-CA"/>
        </w:rPr>
        <w:t>R. v. Purchase</w:t>
      </w:r>
      <w:r>
        <w:rPr>
          <w:sz w:val="28"/>
          <w:szCs w:val="28"/>
          <w:lang w:val="en-CA"/>
        </w:rPr>
        <w:t xml:space="preserve">, 2012 BCSC 208, the trial judge held, at paragraph 222, in the context of a section 11(b) </w:t>
      </w:r>
      <w:r w:rsidRPr="00320754">
        <w:rPr>
          <w:i/>
          <w:sz w:val="28"/>
          <w:szCs w:val="28"/>
          <w:lang w:val="en-CA"/>
        </w:rPr>
        <w:t>Charter</w:t>
      </w:r>
      <w:r>
        <w:rPr>
          <w:sz w:val="28"/>
          <w:szCs w:val="28"/>
          <w:lang w:val="en-CA"/>
        </w:rPr>
        <w:t xml:space="preserve"> ruling having been allegedly prematurely issued, that “</w:t>
      </w:r>
      <w:r w:rsidRPr="00320754">
        <w:rPr>
          <w:sz w:val="28"/>
          <w:szCs w:val="28"/>
          <w:lang w:val="en-CA"/>
        </w:rPr>
        <w:t>had I acceded to the accused’s application for a mistrial, I would have further considered the appropriateness of ordering a new trial as the remedy.  Consideration of this issue would include ordering that another judge of this Court hear the accused’s</w:t>
      </w:r>
      <w:r w:rsidRPr="00320754">
        <w:rPr>
          <w:i/>
          <w:iCs/>
          <w:sz w:val="28"/>
          <w:szCs w:val="28"/>
          <w:lang w:val="en-CA"/>
        </w:rPr>
        <w:t xml:space="preserve"> Askov </w:t>
      </w:r>
      <w:r w:rsidRPr="00320754">
        <w:rPr>
          <w:sz w:val="28"/>
          <w:szCs w:val="28"/>
          <w:lang w:val="en-CA"/>
        </w:rPr>
        <w:t>application.</w:t>
      </w:r>
      <w:r>
        <w:rPr>
          <w:sz w:val="28"/>
          <w:szCs w:val="28"/>
          <w:lang w:val="en-CA"/>
        </w:rPr>
        <w:t>”</w:t>
      </w:r>
      <w:r w:rsidRPr="00320754">
        <w:rPr>
          <w:sz w:val="28"/>
          <w:szCs w:val="28"/>
          <w:lang w:val="en-CA"/>
        </w:rPr>
        <w:t> </w:t>
      </w:r>
    </w:p>
    <w:p w:rsidR="00320754" w:rsidRPr="00320754" w:rsidRDefault="00320754" w:rsidP="00320754">
      <w:pPr>
        <w:jc w:val="both"/>
        <w:rPr>
          <w:sz w:val="28"/>
          <w:szCs w:val="28"/>
        </w:rPr>
      </w:pPr>
    </w:p>
    <w:p w:rsidR="00DD431F" w:rsidRDefault="00DD431F" w:rsidP="00AB0044">
      <w:pPr>
        <w:jc w:val="center"/>
        <w:rPr>
          <w:b/>
          <w:sz w:val="28"/>
          <w:szCs w:val="28"/>
        </w:rPr>
      </w:pPr>
      <w:r>
        <w:rPr>
          <w:b/>
          <w:sz w:val="28"/>
          <w:szCs w:val="28"/>
        </w:rPr>
        <w:t>CONCLUSION</w:t>
      </w:r>
    </w:p>
    <w:p w:rsidR="00DD431F" w:rsidRDefault="00DD431F" w:rsidP="00161650">
      <w:pPr>
        <w:jc w:val="both"/>
        <w:rPr>
          <w:b/>
          <w:sz w:val="28"/>
          <w:szCs w:val="28"/>
        </w:rPr>
      </w:pPr>
    </w:p>
    <w:p w:rsidR="00DD431F" w:rsidRPr="00DD431F" w:rsidRDefault="00DD431F" w:rsidP="00161650">
      <w:pPr>
        <w:spacing w:line="480" w:lineRule="auto"/>
        <w:ind w:firstLine="720"/>
        <w:jc w:val="both"/>
        <w:rPr>
          <w:iCs/>
          <w:sz w:val="28"/>
          <w:szCs w:val="28"/>
        </w:rPr>
      </w:pPr>
      <w:r>
        <w:rPr>
          <w:sz w:val="28"/>
          <w:szCs w:val="28"/>
        </w:rPr>
        <w:t>As this update illustrates, the issue of reasonable apprehension of bias continues</w:t>
      </w:r>
      <w:r w:rsidR="00BD6313">
        <w:rPr>
          <w:sz w:val="28"/>
          <w:szCs w:val="28"/>
        </w:rPr>
        <w:t xml:space="preserve"> to be a source of litigation.  The recent cases referred to also illustrate that the test to be applied when this issue is raised is a stringent one (see</w:t>
      </w:r>
      <w:r w:rsidR="00BD6313" w:rsidRPr="00BD6313">
        <w:rPr>
          <w:b/>
          <w:i/>
          <w:sz w:val="28"/>
          <w:szCs w:val="28"/>
        </w:rPr>
        <w:t xml:space="preserve"> J.L.M.A.</w:t>
      </w:r>
      <w:r w:rsidR="00BD6313">
        <w:rPr>
          <w:sz w:val="28"/>
          <w:szCs w:val="28"/>
        </w:rPr>
        <w:t>).</w:t>
      </w:r>
      <w:r w:rsidR="00962F18">
        <w:rPr>
          <w:sz w:val="28"/>
          <w:szCs w:val="28"/>
        </w:rPr>
        <w:t xml:space="preserve">  </w:t>
      </w:r>
      <w:r w:rsidR="002B6CD9">
        <w:rPr>
          <w:sz w:val="28"/>
          <w:szCs w:val="28"/>
        </w:rPr>
        <w:t>I</w:t>
      </w:r>
      <w:r w:rsidR="00AB0044">
        <w:rPr>
          <w:sz w:val="28"/>
          <w:szCs w:val="28"/>
        </w:rPr>
        <w:t xml:space="preserve">t is clear that recusal should not be lightly </w:t>
      </w:r>
      <w:r w:rsidR="002B6CD9">
        <w:rPr>
          <w:sz w:val="28"/>
          <w:szCs w:val="28"/>
        </w:rPr>
        <w:t>adopted</w:t>
      </w:r>
      <w:r w:rsidR="00AB0044">
        <w:rPr>
          <w:sz w:val="28"/>
          <w:szCs w:val="28"/>
        </w:rPr>
        <w:t xml:space="preserve"> and that prior involvement in an ongoing matter, such as conducting a judicial interim release hearing, is not an automatic basis for recusal at the trial.  </w:t>
      </w:r>
      <w:r w:rsidR="00962F18">
        <w:rPr>
          <w:sz w:val="28"/>
          <w:szCs w:val="28"/>
        </w:rPr>
        <w:t xml:space="preserve">In addition, these cases illustrate that intervention in the trial process requires </w:t>
      </w:r>
      <w:r w:rsidR="00962F18">
        <w:rPr>
          <w:sz w:val="28"/>
          <w:szCs w:val="28"/>
        </w:rPr>
        <w:lastRenderedPageBreak/>
        <w:t xml:space="preserve">subtlety.  Though we bear a “responsibility” (see </w:t>
      </w:r>
      <w:r w:rsidR="00962F18" w:rsidRPr="00962F18">
        <w:rPr>
          <w:b/>
          <w:i/>
          <w:sz w:val="28"/>
          <w:szCs w:val="28"/>
        </w:rPr>
        <w:t>Dobson</w:t>
      </w:r>
      <w:r w:rsidR="00962F18">
        <w:rPr>
          <w:sz w:val="28"/>
          <w:szCs w:val="28"/>
        </w:rPr>
        <w:t xml:space="preserve">) to manage a trial, we must do so with restraint.  Though we can ask questions to “clear up ambiguities”, we must not do so in a manner which “belittles or denigrates” any of the parties involved (see </w:t>
      </w:r>
      <w:r w:rsidR="00962F18" w:rsidRPr="00962F18">
        <w:rPr>
          <w:b/>
          <w:i/>
          <w:sz w:val="28"/>
          <w:szCs w:val="28"/>
        </w:rPr>
        <w:t>Michel</w:t>
      </w:r>
      <w:r w:rsidR="00962F18">
        <w:rPr>
          <w:sz w:val="28"/>
          <w:szCs w:val="28"/>
        </w:rPr>
        <w:t xml:space="preserve">).  </w:t>
      </w:r>
    </w:p>
    <w:p w:rsidR="00AF125C" w:rsidRPr="00F55AC8" w:rsidRDefault="00AF125C" w:rsidP="00161650">
      <w:pPr>
        <w:jc w:val="both"/>
        <w:rPr>
          <w:sz w:val="28"/>
          <w:szCs w:val="28"/>
        </w:rPr>
      </w:pPr>
    </w:p>
    <w:p w:rsidR="00A1333E" w:rsidRDefault="00A1333E" w:rsidP="00161650">
      <w:pPr>
        <w:jc w:val="both"/>
        <w:rPr>
          <w:sz w:val="28"/>
          <w:szCs w:val="28"/>
        </w:rPr>
      </w:pPr>
    </w:p>
    <w:sectPr w:rsidR="00A1333E" w:rsidSect="00D56E21">
      <w:headerReference w:type="default" r:id="rId18"/>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52B2" w:rsidRDefault="00AF52B2">
      <w:r>
        <w:separator/>
      </w:r>
    </w:p>
  </w:endnote>
  <w:endnote w:type="continuationSeparator" w:id="0">
    <w:p w:rsidR="00AF52B2" w:rsidRDefault="00AF52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Arial (W1)">
    <w:altName w:val="Times New Roman"/>
    <w:charset w:val="00"/>
    <w:family w:val="auto"/>
    <w:pitch w:val="default"/>
  </w:font>
  <w:font w:name="TimesNew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52B2" w:rsidRDefault="00AF52B2">
      <w:r>
        <w:separator/>
      </w:r>
    </w:p>
  </w:footnote>
  <w:footnote w:type="continuationSeparator" w:id="0">
    <w:p w:rsidR="00AF52B2" w:rsidRDefault="00AF52B2">
      <w:r>
        <w:continuationSeparator/>
      </w:r>
    </w:p>
  </w:footnote>
  <w:footnote w:id="1">
    <w:p w:rsidR="0070038F" w:rsidRPr="00FA69EE" w:rsidRDefault="0070038F" w:rsidP="00651A25">
      <w:pPr>
        <w:pStyle w:val="FootnoteText"/>
        <w:jc w:val="both"/>
        <w:rPr>
          <w:sz w:val="24"/>
          <w:szCs w:val="24"/>
        </w:rPr>
      </w:pPr>
      <w:r w:rsidRPr="00FA69EE">
        <w:rPr>
          <w:rStyle w:val="FootnoteReference"/>
          <w:sz w:val="24"/>
          <w:szCs w:val="24"/>
        </w:rPr>
        <w:footnoteRef/>
      </w:r>
      <w:r w:rsidRPr="00FA69EE">
        <w:rPr>
          <w:sz w:val="24"/>
          <w:szCs w:val="24"/>
        </w:rPr>
        <w:t xml:space="preserve"> For a consideration of these principles in a family law context, see </w:t>
      </w:r>
      <w:bookmarkStart w:id="11" w:name="OLE_LINK7"/>
      <w:r w:rsidRPr="00FA69EE">
        <w:rPr>
          <w:b/>
          <w:i/>
          <w:sz w:val="24"/>
          <w:szCs w:val="24"/>
        </w:rPr>
        <w:t>Children</w:t>
      </w:r>
      <w:smartTag w:uri="urn:schemas-microsoft-com:office:smarttags" w:element="PersonName">
        <w:r w:rsidRPr="00FA69EE">
          <w:rPr>
            <w:b/>
            <w:i/>
            <w:sz w:val="24"/>
            <w:szCs w:val="24"/>
          </w:rPr>
          <w:t>'</w:t>
        </w:r>
      </w:smartTag>
      <w:r w:rsidRPr="00FA69EE">
        <w:rPr>
          <w:b/>
          <w:i/>
          <w:sz w:val="24"/>
          <w:szCs w:val="24"/>
        </w:rPr>
        <w:t xml:space="preserve">s Aid Society of the </w:t>
      </w:r>
      <w:smartTag w:uri="urn:schemas-microsoft-com:office:smarttags" w:element="PlaceName">
        <w:r w:rsidRPr="00FA69EE">
          <w:rPr>
            <w:b/>
            <w:i/>
            <w:sz w:val="24"/>
            <w:szCs w:val="24"/>
          </w:rPr>
          <w:t>Regional</w:t>
        </w:r>
      </w:smartTag>
      <w:r w:rsidRPr="00FA69EE">
        <w:rPr>
          <w:b/>
          <w:i/>
          <w:sz w:val="24"/>
          <w:szCs w:val="24"/>
        </w:rPr>
        <w:t xml:space="preserve"> </w:t>
      </w:r>
      <w:smartTag w:uri="urn:schemas-microsoft-com:office:smarttags" w:element="PlaceType">
        <w:r w:rsidRPr="00FA69EE">
          <w:rPr>
            <w:b/>
            <w:i/>
            <w:sz w:val="24"/>
            <w:szCs w:val="24"/>
          </w:rPr>
          <w:t>Municipality</w:t>
        </w:r>
      </w:smartTag>
      <w:r w:rsidRPr="00FA69EE">
        <w:rPr>
          <w:b/>
          <w:i/>
          <w:sz w:val="24"/>
          <w:szCs w:val="24"/>
        </w:rPr>
        <w:t xml:space="preserve"> of </w:t>
      </w:r>
      <w:smartTag w:uri="urn:schemas-microsoft-com:office:smarttags" w:element="place">
        <w:smartTag w:uri="urn:schemas-microsoft-com:office:smarttags" w:element="City">
          <w:r w:rsidRPr="00FA69EE">
            <w:rPr>
              <w:b/>
              <w:i/>
              <w:sz w:val="24"/>
              <w:szCs w:val="24"/>
            </w:rPr>
            <w:t>Waterloo</w:t>
          </w:r>
        </w:smartTag>
      </w:smartTag>
      <w:r w:rsidRPr="00FA69EE">
        <w:rPr>
          <w:b/>
          <w:i/>
          <w:sz w:val="24"/>
          <w:szCs w:val="24"/>
        </w:rPr>
        <w:t> v. R.C</w:t>
      </w:r>
      <w:r w:rsidRPr="00FA69EE">
        <w:rPr>
          <w:sz w:val="24"/>
          <w:szCs w:val="24"/>
        </w:rPr>
        <w:t>.</w:t>
      </w:r>
      <w:bookmarkEnd w:id="11"/>
      <w:r w:rsidRPr="00FA69EE">
        <w:rPr>
          <w:sz w:val="24"/>
          <w:szCs w:val="24"/>
        </w:rPr>
        <w:t>, 2009 ONCA 840</w:t>
      </w:r>
      <w:r>
        <w:rPr>
          <w:sz w:val="24"/>
          <w:szCs w:val="24"/>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038F" w:rsidRDefault="0070038F" w:rsidP="00D56E21">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0038F" w:rsidRDefault="0070038F" w:rsidP="00B951C9">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038F" w:rsidRDefault="0070038F" w:rsidP="00F42AD4">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55427">
      <w:rPr>
        <w:rStyle w:val="PageNumber"/>
        <w:noProof/>
      </w:rPr>
      <w:t>i</w:t>
    </w:r>
    <w:r>
      <w:rPr>
        <w:rStyle w:val="PageNumber"/>
      </w:rPr>
      <w:fldChar w:fldCharType="end"/>
    </w:r>
  </w:p>
  <w:p w:rsidR="0070038F" w:rsidRDefault="0070038F" w:rsidP="00D56E21">
    <w:pPr>
      <w:pStyle w:val="Header"/>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038F" w:rsidRDefault="0070038F" w:rsidP="00F42AD4">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55427">
      <w:rPr>
        <w:rStyle w:val="PageNumber"/>
        <w:noProof/>
      </w:rPr>
      <w:t>29</w:t>
    </w:r>
    <w:r>
      <w:rPr>
        <w:rStyle w:val="PageNumber"/>
      </w:rPr>
      <w:fldChar w:fldCharType="end"/>
    </w:r>
  </w:p>
  <w:p w:rsidR="0070038F" w:rsidRDefault="0070038F" w:rsidP="00D56E21">
    <w:pPr>
      <w:pStyle w:val="Header"/>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F40893"/>
    <w:multiLevelType w:val="multilevel"/>
    <w:tmpl w:val="6178D3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lvlOverride w:ilvl="0">
      <w:startOverride w:val="34"/>
    </w:lvlOverride>
  </w:num>
  <w:num w:numId="2">
    <w:abstractNumId w:val="0"/>
    <w:lvlOverride w:ilvl="0">
      <w:startOverride w:val="35"/>
    </w:lvlOverride>
  </w:num>
  <w:num w:numId="3">
    <w:abstractNumId w:val="0"/>
    <w:lvlOverride w:ilvl="0">
      <w:startOverride w:val="36"/>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363BE"/>
    <w:rsid w:val="00000A72"/>
    <w:rsid w:val="00001BF4"/>
    <w:rsid w:val="00005933"/>
    <w:rsid w:val="00007C7B"/>
    <w:rsid w:val="00011ADD"/>
    <w:rsid w:val="00011CC5"/>
    <w:rsid w:val="000120D6"/>
    <w:rsid w:val="000136FF"/>
    <w:rsid w:val="00013C0B"/>
    <w:rsid w:val="00014468"/>
    <w:rsid w:val="00016131"/>
    <w:rsid w:val="00016B2A"/>
    <w:rsid w:val="00020869"/>
    <w:rsid w:val="00021108"/>
    <w:rsid w:val="00021B5E"/>
    <w:rsid w:val="00022CB2"/>
    <w:rsid w:val="000234D4"/>
    <w:rsid w:val="0002438E"/>
    <w:rsid w:val="00024CA6"/>
    <w:rsid w:val="00025653"/>
    <w:rsid w:val="00025714"/>
    <w:rsid w:val="00025B24"/>
    <w:rsid w:val="00026ABF"/>
    <w:rsid w:val="00027955"/>
    <w:rsid w:val="00030216"/>
    <w:rsid w:val="000314CE"/>
    <w:rsid w:val="00031D56"/>
    <w:rsid w:val="00032952"/>
    <w:rsid w:val="00032FA6"/>
    <w:rsid w:val="00033BE4"/>
    <w:rsid w:val="0003469D"/>
    <w:rsid w:val="000349E5"/>
    <w:rsid w:val="000353AA"/>
    <w:rsid w:val="00040045"/>
    <w:rsid w:val="0004037C"/>
    <w:rsid w:val="00041152"/>
    <w:rsid w:val="000415BC"/>
    <w:rsid w:val="00041621"/>
    <w:rsid w:val="00041B64"/>
    <w:rsid w:val="00042F93"/>
    <w:rsid w:val="000430B9"/>
    <w:rsid w:val="000433DB"/>
    <w:rsid w:val="00045567"/>
    <w:rsid w:val="00046693"/>
    <w:rsid w:val="00046BD5"/>
    <w:rsid w:val="0005039D"/>
    <w:rsid w:val="000518BE"/>
    <w:rsid w:val="00051951"/>
    <w:rsid w:val="00052325"/>
    <w:rsid w:val="00053604"/>
    <w:rsid w:val="00053BA0"/>
    <w:rsid w:val="00054875"/>
    <w:rsid w:val="00054B53"/>
    <w:rsid w:val="0005549D"/>
    <w:rsid w:val="00056C22"/>
    <w:rsid w:val="00056EE6"/>
    <w:rsid w:val="0006326D"/>
    <w:rsid w:val="000633BA"/>
    <w:rsid w:val="0006459C"/>
    <w:rsid w:val="00065349"/>
    <w:rsid w:val="0006566A"/>
    <w:rsid w:val="00066531"/>
    <w:rsid w:val="00067BC3"/>
    <w:rsid w:val="00067C55"/>
    <w:rsid w:val="0007188A"/>
    <w:rsid w:val="00074066"/>
    <w:rsid w:val="0007483E"/>
    <w:rsid w:val="00076529"/>
    <w:rsid w:val="0008035C"/>
    <w:rsid w:val="00081222"/>
    <w:rsid w:val="00081B37"/>
    <w:rsid w:val="00081D73"/>
    <w:rsid w:val="00082378"/>
    <w:rsid w:val="0008485A"/>
    <w:rsid w:val="00084F81"/>
    <w:rsid w:val="000855EB"/>
    <w:rsid w:val="00085D8C"/>
    <w:rsid w:val="0008617D"/>
    <w:rsid w:val="0009111B"/>
    <w:rsid w:val="000925DB"/>
    <w:rsid w:val="0009271C"/>
    <w:rsid w:val="000931C2"/>
    <w:rsid w:val="00094635"/>
    <w:rsid w:val="00095555"/>
    <w:rsid w:val="00095E07"/>
    <w:rsid w:val="00096A02"/>
    <w:rsid w:val="00097ACE"/>
    <w:rsid w:val="000A0346"/>
    <w:rsid w:val="000A0DAB"/>
    <w:rsid w:val="000A755D"/>
    <w:rsid w:val="000B0857"/>
    <w:rsid w:val="000B2D5D"/>
    <w:rsid w:val="000B2DA7"/>
    <w:rsid w:val="000B48B8"/>
    <w:rsid w:val="000B4D75"/>
    <w:rsid w:val="000B5537"/>
    <w:rsid w:val="000B5D00"/>
    <w:rsid w:val="000B5F53"/>
    <w:rsid w:val="000B637B"/>
    <w:rsid w:val="000B67EA"/>
    <w:rsid w:val="000C1DF3"/>
    <w:rsid w:val="000C2B3F"/>
    <w:rsid w:val="000C2DF9"/>
    <w:rsid w:val="000C5C23"/>
    <w:rsid w:val="000C6BF4"/>
    <w:rsid w:val="000D0E21"/>
    <w:rsid w:val="000D2A79"/>
    <w:rsid w:val="000D2AC4"/>
    <w:rsid w:val="000D2ED1"/>
    <w:rsid w:val="000D331D"/>
    <w:rsid w:val="000D3B89"/>
    <w:rsid w:val="000D46DB"/>
    <w:rsid w:val="000D4ADC"/>
    <w:rsid w:val="000D6882"/>
    <w:rsid w:val="000D6D40"/>
    <w:rsid w:val="000E09EA"/>
    <w:rsid w:val="000E1256"/>
    <w:rsid w:val="000E18F4"/>
    <w:rsid w:val="000E19AE"/>
    <w:rsid w:val="000E2A62"/>
    <w:rsid w:val="000E2D62"/>
    <w:rsid w:val="000E79B6"/>
    <w:rsid w:val="000E7C74"/>
    <w:rsid w:val="000E7EB1"/>
    <w:rsid w:val="000F0047"/>
    <w:rsid w:val="000F2ECF"/>
    <w:rsid w:val="000F3C32"/>
    <w:rsid w:val="000F4689"/>
    <w:rsid w:val="000F4E1A"/>
    <w:rsid w:val="000F6800"/>
    <w:rsid w:val="000F7E9A"/>
    <w:rsid w:val="00100209"/>
    <w:rsid w:val="00101DB5"/>
    <w:rsid w:val="00102907"/>
    <w:rsid w:val="00102E49"/>
    <w:rsid w:val="00103718"/>
    <w:rsid w:val="0010408C"/>
    <w:rsid w:val="00104907"/>
    <w:rsid w:val="001049DA"/>
    <w:rsid w:val="0010564B"/>
    <w:rsid w:val="001056D2"/>
    <w:rsid w:val="00107A02"/>
    <w:rsid w:val="00110123"/>
    <w:rsid w:val="0011020B"/>
    <w:rsid w:val="001104F9"/>
    <w:rsid w:val="0011272D"/>
    <w:rsid w:val="0011506E"/>
    <w:rsid w:val="00116000"/>
    <w:rsid w:val="0011647D"/>
    <w:rsid w:val="001171A7"/>
    <w:rsid w:val="00117304"/>
    <w:rsid w:val="001241A8"/>
    <w:rsid w:val="0012436E"/>
    <w:rsid w:val="00125A10"/>
    <w:rsid w:val="00126661"/>
    <w:rsid w:val="00127D74"/>
    <w:rsid w:val="00131EB7"/>
    <w:rsid w:val="00132A05"/>
    <w:rsid w:val="0013486A"/>
    <w:rsid w:val="001349D8"/>
    <w:rsid w:val="0013503B"/>
    <w:rsid w:val="00135742"/>
    <w:rsid w:val="00136E6D"/>
    <w:rsid w:val="00141298"/>
    <w:rsid w:val="0014148B"/>
    <w:rsid w:val="00145388"/>
    <w:rsid w:val="00146049"/>
    <w:rsid w:val="00146391"/>
    <w:rsid w:val="0014677A"/>
    <w:rsid w:val="00147811"/>
    <w:rsid w:val="00150416"/>
    <w:rsid w:val="0015055B"/>
    <w:rsid w:val="0015368B"/>
    <w:rsid w:val="00153B66"/>
    <w:rsid w:val="00154565"/>
    <w:rsid w:val="0015468E"/>
    <w:rsid w:val="00154A60"/>
    <w:rsid w:val="001608E0"/>
    <w:rsid w:val="00161650"/>
    <w:rsid w:val="001619D3"/>
    <w:rsid w:val="00161F5F"/>
    <w:rsid w:val="00163FCA"/>
    <w:rsid w:val="00165986"/>
    <w:rsid w:val="00166657"/>
    <w:rsid w:val="00166C9E"/>
    <w:rsid w:val="0016723D"/>
    <w:rsid w:val="0017179A"/>
    <w:rsid w:val="00171E25"/>
    <w:rsid w:val="00172F6B"/>
    <w:rsid w:val="00173F4F"/>
    <w:rsid w:val="001744F7"/>
    <w:rsid w:val="00174F09"/>
    <w:rsid w:val="00174FFF"/>
    <w:rsid w:val="00177C73"/>
    <w:rsid w:val="00180716"/>
    <w:rsid w:val="00180E5D"/>
    <w:rsid w:val="00180FA5"/>
    <w:rsid w:val="00181CA1"/>
    <w:rsid w:val="001835B4"/>
    <w:rsid w:val="0018486E"/>
    <w:rsid w:val="00184FF5"/>
    <w:rsid w:val="00185AB3"/>
    <w:rsid w:val="0018701D"/>
    <w:rsid w:val="00187713"/>
    <w:rsid w:val="0019106C"/>
    <w:rsid w:val="00191EFD"/>
    <w:rsid w:val="001922F5"/>
    <w:rsid w:val="001924AC"/>
    <w:rsid w:val="00192A6F"/>
    <w:rsid w:val="0019310A"/>
    <w:rsid w:val="001946FB"/>
    <w:rsid w:val="0019557C"/>
    <w:rsid w:val="001961B0"/>
    <w:rsid w:val="001A028D"/>
    <w:rsid w:val="001A0643"/>
    <w:rsid w:val="001A6BF9"/>
    <w:rsid w:val="001A78A8"/>
    <w:rsid w:val="001B15FB"/>
    <w:rsid w:val="001B2B87"/>
    <w:rsid w:val="001B3B1B"/>
    <w:rsid w:val="001B4271"/>
    <w:rsid w:val="001B4651"/>
    <w:rsid w:val="001B7FBC"/>
    <w:rsid w:val="001C17E3"/>
    <w:rsid w:val="001C27E3"/>
    <w:rsid w:val="001C2C45"/>
    <w:rsid w:val="001C49F1"/>
    <w:rsid w:val="001C4FAD"/>
    <w:rsid w:val="001C7AE1"/>
    <w:rsid w:val="001D0BFA"/>
    <w:rsid w:val="001D3C13"/>
    <w:rsid w:val="001D4568"/>
    <w:rsid w:val="001D4F09"/>
    <w:rsid w:val="001D6196"/>
    <w:rsid w:val="001D650F"/>
    <w:rsid w:val="001D680E"/>
    <w:rsid w:val="001E197A"/>
    <w:rsid w:val="001E21A7"/>
    <w:rsid w:val="001E28BB"/>
    <w:rsid w:val="001E5AE9"/>
    <w:rsid w:val="001E7996"/>
    <w:rsid w:val="001F09AA"/>
    <w:rsid w:val="001F0FA5"/>
    <w:rsid w:val="001F1447"/>
    <w:rsid w:val="001F4229"/>
    <w:rsid w:val="001F6BD2"/>
    <w:rsid w:val="001F7F32"/>
    <w:rsid w:val="00201AE9"/>
    <w:rsid w:val="00202CF4"/>
    <w:rsid w:val="00206AE5"/>
    <w:rsid w:val="00206FF9"/>
    <w:rsid w:val="00207BC9"/>
    <w:rsid w:val="00207C12"/>
    <w:rsid w:val="00210C33"/>
    <w:rsid w:val="0021102B"/>
    <w:rsid w:val="00211D3A"/>
    <w:rsid w:val="00212127"/>
    <w:rsid w:val="00213BC1"/>
    <w:rsid w:val="0021464F"/>
    <w:rsid w:val="002156FD"/>
    <w:rsid w:val="00216BF3"/>
    <w:rsid w:val="00216D9B"/>
    <w:rsid w:val="00217235"/>
    <w:rsid w:val="002176B7"/>
    <w:rsid w:val="00220DB3"/>
    <w:rsid w:val="00221AD5"/>
    <w:rsid w:val="00222732"/>
    <w:rsid w:val="00224332"/>
    <w:rsid w:val="00224A86"/>
    <w:rsid w:val="00224F38"/>
    <w:rsid w:val="002255DB"/>
    <w:rsid w:val="00225F44"/>
    <w:rsid w:val="002305B7"/>
    <w:rsid w:val="002305ED"/>
    <w:rsid w:val="00231DCA"/>
    <w:rsid w:val="00231FC0"/>
    <w:rsid w:val="00232104"/>
    <w:rsid w:val="00233E85"/>
    <w:rsid w:val="0023404D"/>
    <w:rsid w:val="002340AF"/>
    <w:rsid w:val="00236E34"/>
    <w:rsid w:val="00237288"/>
    <w:rsid w:val="00237A87"/>
    <w:rsid w:val="00237AE0"/>
    <w:rsid w:val="002404BD"/>
    <w:rsid w:val="00240D1B"/>
    <w:rsid w:val="00241501"/>
    <w:rsid w:val="00241A65"/>
    <w:rsid w:val="00241D27"/>
    <w:rsid w:val="0024258E"/>
    <w:rsid w:val="00243FD0"/>
    <w:rsid w:val="00244016"/>
    <w:rsid w:val="00244788"/>
    <w:rsid w:val="00244B42"/>
    <w:rsid w:val="002455C3"/>
    <w:rsid w:val="0024576C"/>
    <w:rsid w:val="00245EF0"/>
    <w:rsid w:val="00246FE9"/>
    <w:rsid w:val="002470FE"/>
    <w:rsid w:val="0024714D"/>
    <w:rsid w:val="00247DE4"/>
    <w:rsid w:val="002500B1"/>
    <w:rsid w:val="00250858"/>
    <w:rsid w:val="00250FED"/>
    <w:rsid w:val="00254B63"/>
    <w:rsid w:val="00254F0E"/>
    <w:rsid w:val="00255A6D"/>
    <w:rsid w:val="002564BF"/>
    <w:rsid w:val="00256CCD"/>
    <w:rsid w:val="002577A9"/>
    <w:rsid w:val="00261057"/>
    <w:rsid w:val="00262467"/>
    <w:rsid w:val="00262F09"/>
    <w:rsid w:val="0026380A"/>
    <w:rsid w:val="00263AEE"/>
    <w:rsid w:val="00264FF4"/>
    <w:rsid w:val="00265007"/>
    <w:rsid w:val="00265B6E"/>
    <w:rsid w:val="00266C2C"/>
    <w:rsid w:val="002678F2"/>
    <w:rsid w:val="0027007D"/>
    <w:rsid w:val="00271243"/>
    <w:rsid w:val="002716FD"/>
    <w:rsid w:val="002718D5"/>
    <w:rsid w:val="00271E88"/>
    <w:rsid w:val="00272CCF"/>
    <w:rsid w:val="00276D87"/>
    <w:rsid w:val="00280453"/>
    <w:rsid w:val="00280881"/>
    <w:rsid w:val="00280F88"/>
    <w:rsid w:val="00281F8B"/>
    <w:rsid w:val="00282458"/>
    <w:rsid w:val="00282E1A"/>
    <w:rsid w:val="00283B8B"/>
    <w:rsid w:val="00284ACA"/>
    <w:rsid w:val="00285914"/>
    <w:rsid w:val="0028596E"/>
    <w:rsid w:val="00286357"/>
    <w:rsid w:val="00287374"/>
    <w:rsid w:val="002900CF"/>
    <w:rsid w:val="00290630"/>
    <w:rsid w:val="00291099"/>
    <w:rsid w:val="002912AA"/>
    <w:rsid w:val="002921FF"/>
    <w:rsid w:val="00292852"/>
    <w:rsid w:val="00292DEF"/>
    <w:rsid w:val="00293CCA"/>
    <w:rsid w:val="00294E92"/>
    <w:rsid w:val="002954AD"/>
    <w:rsid w:val="002954EB"/>
    <w:rsid w:val="0029673E"/>
    <w:rsid w:val="00296D8D"/>
    <w:rsid w:val="002A0559"/>
    <w:rsid w:val="002A2653"/>
    <w:rsid w:val="002A2752"/>
    <w:rsid w:val="002A3D1B"/>
    <w:rsid w:val="002A51E0"/>
    <w:rsid w:val="002A6649"/>
    <w:rsid w:val="002A66B2"/>
    <w:rsid w:val="002A69C6"/>
    <w:rsid w:val="002A6BB5"/>
    <w:rsid w:val="002A7218"/>
    <w:rsid w:val="002B064F"/>
    <w:rsid w:val="002B16B4"/>
    <w:rsid w:val="002B1CF8"/>
    <w:rsid w:val="002B249F"/>
    <w:rsid w:val="002B25B3"/>
    <w:rsid w:val="002B2F1E"/>
    <w:rsid w:val="002B6352"/>
    <w:rsid w:val="002B64F8"/>
    <w:rsid w:val="002B6CD9"/>
    <w:rsid w:val="002B7E10"/>
    <w:rsid w:val="002C0958"/>
    <w:rsid w:val="002C182A"/>
    <w:rsid w:val="002C1C41"/>
    <w:rsid w:val="002C200B"/>
    <w:rsid w:val="002C20F5"/>
    <w:rsid w:val="002C25A5"/>
    <w:rsid w:val="002C4B65"/>
    <w:rsid w:val="002C5159"/>
    <w:rsid w:val="002C604B"/>
    <w:rsid w:val="002C6C90"/>
    <w:rsid w:val="002C6DA7"/>
    <w:rsid w:val="002C704F"/>
    <w:rsid w:val="002D1F58"/>
    <w:rsid w:val="002D2307"/>
    <w:rsid w:val="002D2DE4"/>
    <w:rsid w:val="002D32CD"/>
    <w:rsid w:val="002D50A0"/>
    <w:rsid w:val="002D688A"/>
    <w:rsid w:val="002D7941"/>
    <w:rsid w:val="002E0028"/>
    <w:rsid w:val="002E20C9"/>
    <w:rsid w:val="002E5124"/>
    <w:rsid w:val="002E5615"/>
    <w:rsid w:val="002E56B5"/>
    <w:rsid w:val="002E5AC2"/>
    <w:rsid w:val="002E6281"/>
    <w:rsid w:val="002E6F5C"/>
    <w:rsid w:val="002E7591"/>
    <w:rsid w:val="002F0431"/>
    <w:rsid w:val="002F156B"/>
    <w:rsid w:val="002F1603"/>
    <w:rsid w:val="002F21BF"/>
    <w:rsid w:val="002F272F"/>
    <w:rsid w:val="002F3BE2"/>
    <w:rsid w:val="002F5370"/>
    <w:rsid w:val="002F6041"/>
    <w:rsid w:val="002F6084"/>
    <w:rsid w:val="002F69BD"/>
    <w:rsid w:val="00300FA4"/>
    <w:rsid w:val="003010FF"/>
    <w:rsid w:val="00301E2A"/>
    <w:rsid w:val="0030287D"/>
    <w:rsid w:val="003030AD"/>
    <w:rsid w:val="00303A2F"/>
    <w:rsid w:val="00305197"/>
    <w:rsid w:val="00305BE8"/>
    <w:rsid w:val="003062D5"/>
    <w:rsid w:val="003063B5"/>
    <w:rsid w:val="003063C1"/>
    <w:rsid w:val="00306F79"/>
    <w:rsid w:val="0030716F"/>
    <w:rsid w:val="00307860"/>
    <w:rsid w:val="00307DDC"/>
    <w:rsid w:val="003106B8"/>
    <w:rsid w:val="00313373"/>
    <w:rsid w:val="00314188"/>
    <w:rsid w:val="003156CF"/>
    <w:rsid w:val="00316388"/>
    <w:rsid w:val="00317366"/>
    <w:rsid w:val="003177EF"/>
    <w:rsid w:val="00317B12"/>
    <w:rsid w:val="00320754"/>
    <w:rsid w:val="003252D3"/>
    <w:rsid w:val="003252D4"/>
    <w:rsid w:val="0032553D"/>
    <w:rsid w:val="00325859"/>
    <w:rsid w:val="0032703B"/>
    <w:rsid w:val="00327CAD"/>
    <w:rsid w:val="0033095F"/>
    <w:rsid w:val="00332305"/>
    <w:rsid w:val="00332C49"/>
    <w:rsid w:val="00334537"/>
    <w:rsid w:val="0033471E"/>
    <w:rsid w:val="0033563F"/>
    <w:rsid w:val="003364DA"/>
    <w:rsid w:val="003406D8"/>
    <w:rsid w:val="0034070B"/>
    <w:rsid w:val="003416AC"/>
    <w:rsid w:val="003416B6"/>
    <w:rsid w:val="003428E2"/>
    <w:rsid w:val="00342D4C"/>
    <w:rsid w:val="00343C97"/>
    <w:rsid w:val="00347D89"/>
    <w:rsid w:val="003500E1"/>
    <w:rsid w:val="00350676"/>
    <w:rsid w:val="00352EEA"/>
    <w:rsid w:val="0035333F"/>
    <w:rsid w:val="00354EAB"/>
    <w:rsid w:val="0035639E"/>
    <w:rsid w:val="00356556"/>
    <w:rsid w:val="003577CD"/>
    <w:rsid w:val="00360CF2"/>
    <w:rsid w:val="00361310"/>
    <w:rsid w:val="00361985"/>
    <w:rsid w:val="003620DD"/>
    <w:rsid w:val="0036359B"/>
    <w:rsid w:val="00363649"/>
    <w:rsid w:val="00363C8E"/>
    <w:rsid w:val="00365B6B"/>
    <w:rsid w:val="003665E1"/>
    <w:rsid w:val="00366B2F"/>
    <w:rsid w:val="00367731"/>
    <w:rsid w:val="00367A3C"/>
    <w:rsid w:val="00367C89"/>
    <w:rsid w:val="00370647"/>
    <w:rsid w:val="003708BB"/>
    <w:rsid w:val="0037246B"/>
    <w:rsid w:val="0037293D"/>
    <w:rsid w:val="003734B3"/>
    <w:rsid w:val="0037506E"/>
    <w:rsid w:val="003767D2"/>
    <w:rsid w:val="00380852"/>
    <w:rsid w:val="0038095E"/>
    <w:rsid w:val="00380BBD"/>
    <w:rsid w:val="00380E9C"/>
    <w:rsid w:val="00381950"/>
    <w:rsid w:val="003819F7"/>
    <w:rsid w:val="00381E26"/>
    <w:rsid w:val="00382A9F"/>
    <w:rsid w:val="0038376E"/>
    <w:rsid w:val="003840A0"/>
    <w:rsid w:val="00384467"/>
    <w:rsid w:val="00384AF6"/>
    <w:rsid w:val="00384BB3"/>
    <w:rsid w:val="00384E67"/>
    <w:rsid w:val="0038684C"/>
    <w:rsid w:val="00386915"/>
    <w:rsid w:val="00386D52"/>
    <w:rsid w:val="00387C7B"/>
    <w:rsid w:val="00390138"/>
    <w:rsid w:val="003911EE"/>
    <w:rsid w:val="003916A2"/>
    <w:rsid w:val="00391DFC"/>
    <w:rsid w:val="003933FA"/>
    <w:rsid w:val="003945AC"/>
    <w:rsid w:val="00394BA3"/>
    <w:rsid w:val="003954FC"/>
    <w:rsid w:val="00396056"/>
    <w:rsid w:val="00396802"/>
    <w:rsid w:val="00396CC8"/>
    <w:rsid w:val="00396D85"/>
    <w:rsid w:val="00396FE0"/>
    <w:rsid w:val="003973B8"/>
    <w:rsid w:val="00397522"/>
    <w:rsid w:val="00397605"/>
    <w:rsid w:val="003A0278"/>
    <w:rsid w:val="003A2D0A"/>
    <w:rsid w:val="003A33AC"/>
    <w:rsid w:val="003A3CAD"/>
    <w:rsid w:val="003A5089"/>
    <w:rsid w:val="003A55F2"/>
    <w:rsid w:val="003A6100"/>
    <w:rsid w:val="003A624C"/>
    <w:rsid w:val="003A6637"/>
    <w:rsid w:val="003A6C3C"/>
    <w:rsid w:val="003A6D22"/>
    <w:rsid w:val="003A6E06"/>
    <w:rsid w:val="003B2E33"/>
    <w:rsid w:val="003B3FF3"/>
    <w:rsid w:val="003B506C"/>
    <w:rsid w:val="003B5306"/>
    <w:rsid w:val="003B5D23"/>
    <w:rsid w:val="003B77A2"/>
    <w:rsid w:val="003C00B8"/>
    <w:rsid w:val="003C0B94"/>
    <w:rsid w:val="003C13DA"/>
    <w:rsid w:val="003C23D5"/>
    <w:rsid w:val="003C311E"/>
    <w:rsid w:val="003C333D"/>
    <w:rsid w:val="003C3BA3"/>
    <w:rsid w:val="003C4558"/>
    <w:rsid w:val="003C657C"/>
    <w:rsid w:val="003C70E4"/>
    <w:rsid w:val="003C7F2B"/>
    <w:rsid w:val="003C7FE4"/>
    <w:rsid w:val="003D084F"/>
    <w:rsid w:val="003D3D0D"/>
    <w:rsid w:val="003D4712"/>
    <w:rsid w:val="003D57F8"/>
    <w:rsid w:val="003D6CBD"/>
    <w:rsid w:val="003D7CEF"/>
    <w:rsid w:val="003E2C2E"/>
    <w:rsid w:val="003E2E0D"/>
    <w:rsid w:val="003E3542"/>
    <w:rsid w:val="003E3797"/>
    <w:rsid w:val="003E4784"/>
    <w:rsid w:val="003E4FDA"/>
    <w:rsid w:val="003E59D8"/>
    <w:rsid w:val="003E6633"/>
    <w:rsid w:val="003F031A"/>
    <w:rsid w:val="003F031B"/>
    <w:rsid w:val="003F099C"/>
    <w:rsid w:val="003F0AB2"/>
    <w:rsid w:val="003F17F0"/>
    <w:rsid w:val="003F1880"/>
    <w:rsid w:val="003F287B"/>
    <w:rsid w:val="003F3364"/>
    <w:rsid w:val="003F4C19"/>
    <w:rsid w:val="003F7CF8"/>
    <w:rsid w:val="00401EB9"/>
    <w:rsid w:val="00402804"/>
    <w:rsid w:val="00403CD5"/>
    <w:rsid w:val="004049F6"/>
    <w:rsid w:val="00404A06"/>
    <w:rsid w:val="0040541B"/>
    <w:rsid w:val="0040552A"/>
    <w:rsid w:val="00406627"/>
    <w:rsid w:val="00406FFB"/>
    <w:rsid w:val="004105D8"/>
    <w:rsid w:val="00410C20"/>
    <w:rsid w:val="00411080"/>
    <w:rsid w:val="004114ED"/>
    <w:rsid w:val="00412C61"/>
    <w:rsid w:val="00415BC2"/>
    <w:rsid w:val="00416394"/>
    <w:rsid w:val="00417265"/>
    <w:rsid w:val="0041750D"/>
    <w:rsid w:val="004175BC"/>
    <w:rsid w:val="00417A03"/>
    <w:rsid w:val="00417BA4"/>
    <w:rsid w:val="00417BB1"/>
    <w:rsid w:val="00422470"/>
    <w:rsid w:val="00424C08"/>
    <w:rsid w:val="00425536"/>
    <w:rsid w:val="00425696"/>
    <w:rsid w:val="00427E14"/>
    <w:rsid w:val="004318C9"/>
    <w:rsid w:val="00431AF9"/>
    <w:rsid w:val="004332B4"/>
    <w:rsid w:val="00433421"/>
    <w:rsid w:val="0043383E"/>
    <w:rsid w:val="004338D1"/>
    <w:rsid w:val="004345E9"/>
    <w:rsid w:val="004352B6"/>
    <w:rsid w:val="00435791"/>
    <w:rsid w:val="00436057"/>
    <w:rsid w:val="00436519"/>
    <w:rsid w:val="00441156"/>
    <w:rsid w:val="00441776"/>
    <w:rsid w:val="0044222D"/>
    <w:rsid w:val="00442669"/>
    <w:rsid w:val="00442F31"/>
    <w:rsid w:val="0044369A"/>
    <w:rsid w:val="00443EBA"/>
    <w:rsid w:val="00444416"/>
    <w:rsid w:val="00444AEC"/>
    <w:rsid w:val="00445512"/>
    <w:rsid w:val="00450D00"/>
    <w:rsid w:val="0045108F"/>
    <w:rsid w:val="00452AA6"/>
    <w:rsid w:val="00453B7E"/>
    <w:rsid w:val="004547D8"/>
    <w:rsid w:val="00454F65"/>
    <w:rsid w:val="00455271"/>
    <w:rsid w:val="00455C77"/>
    <w:rsid w:val="00455F60"/>
    <w:rsid w:val="0045663A"/>
    <w:rsid w:val="0045677A"/>
    <w:rsid w:val="00456977"/>
    <w:rsid w:val="00462437"/>
    <w:rsid w:val="00462A11"/>
    <w:rsid w:val="00462B48"/>
    <w:rsid w:val="00462C1B"/>
    <w:rsid w:val="00462E4C"/>
    <w:rsid w:val="0046380F"/>
    <w:rsid w:val="00465E8A"/>
    <w:rsid w:val="00466458"/>
    <w:rsid w:val="0046654E"/>
    <w:rsid w:val="00466D3F"/>
    <w:rsid w:val="0047084C"/>
    <w:rsid w:val="004709D9"/>
    <w:rsid w:val="004711C3"/>
    <w:rsid w:val="004726BF"/>
    <w:rsid w:val="00472D37"/>
    <w:rsid w:val="00473C8B"/>
    <w:rsid w:val="0047475C"/>
    <w:rsid w:val="0048068A"/>
    <w:rsid w:val="00483449"/>
    <w:rsid w:val="00484143"/>
    <w:rsid w:val="00484DFE"/>
    <w:rsid w:val="00485B9A"/>
    <w:rsid w:val="00486E62"/>
    <w:rsid w:val="00487E3D"/>
    <w:rsid w:val="00490580"/>
    <w:rsid w:val="0049083D"/>
    <w:rsid w:val="004908F3"/>
    <w:rsid w:val="00490C7D"/>
    <w:rsid w:val="00491027"/>
    <w:rsid w:val="00491720"/>
    <w:rsid w:val="00492100"/>
    <w:rsid w:val="004948F1"/>
    <w:rsid w:val="00495481"/>
    <w:rsid w:val="00497BE6"/>
    <w:rsid w:val="004A13E7"/>
    <w:rsid w:val="004A191F"/>
    <w:rsid w:val="004A4043"/>
    <w:rsid w:val="004A44A8"/>
    <w:rsid w:val="004A4C0D"/>
    <w:rsid w:val="004A4E44"/>
    <w:rsid w:val="004A512A"/>
    <w:rsid w:val="004A5738"/>
    <w:rsid w:val="004A5DD6"/>
    <w:rsid w:val="004A63E7"/>
    <w:rsid w:val="004A6E4A"/>
    <w:rsid w:val="004A7457"/>
    <w:rsid w:val="004B000B"/>
    <w:rsid w:val="004B0BA3"/>
    <w:rsid w:val="004B24E8"/>
    <w:rsid w:val="004B29FF"/>
    <w:rsid w:val="004B3733"/>
    <w:rsid w:val="004B3EA1"/>
    <w:rsid w:val="004B48F5"/>
    <w:rsid w:val="004B52EE"/>
    <w:rsid w:val="004B5761"/>
    <w:rsid w:val="004B63BC"/>
    <w:rsid w:val="004B65A8"/>
    <w:rsid w:val="004C28B9"/>
    <w:rsid w:val="004C2E99"/>
    <w:rsid w:val="004C3296"/>
    <w:rsid w:val="004C3EA6"/>
    <w:rsid w:val="004C4783"/>
    <w:rsid w:val="004C543C"/>
    <w:rsid w:val="004C5DE6"/>
    <w:rsid w:val="004C63AB"/>
    <w:rsid w:val="004C69A2"/>
    <w:rsid w:val="004C6F00"/>
    <w:rsid w:val="004D098F"/>
    <w:rsid w:val="004D0D31"/>
    <w:rsid w:val="004D16C5"/>
    <w:rsid w:val="004D1DB8"/>
    <w:rsid w:val="004D1F86"/>
    <w:rsid w:val="004D2004"/>
    <w:rsid w:val="004D23D9"/>
    <w:rsid w:val="004D35EB"/>
    <w:rsid w:val="004D4D1F"/>
    <w:rsid w:val="004D55E9"/>
    <w:rsid w:val="004D6233"/>
    <w:rsid w:val="004D62BF"/>
    <w:rsid w:val="004D64F7"/>
    <w:rsid w:val="004D7137"/>
    <w:rsid w:val="004E1011"/>
    <w:rsid w:val="004E33BA"/>
    <w:rsid w:val="004E6A3A"/>
    <w:rsid w:val="004E6AEE"/>
    <w:rsid w:val="004E70D8"/>
    <w:rsid w:val="004E7152"/>
    <w:rsid w:val="004F16CD"/>
    <w:rsid w:val="004F1A9C"/>
    <w:rsid w:val="004F23D3"/>
    <w:rsid w:val="004F280B"/>
    <w:rsid w:val="004F3DDE"/>
    <w:rsid w:val="004F4EAF"/>
    <w:rsid w:val="004F5442"/>
    <w:rsid w:val="004F577E"/>
    <w:rsid w:val="004F5C53"/>
    <w:rsid w:val="004F6F96"/>
    <w:rsid w:val="004F75E6"/>
    <w:rsid w:val="004F7882"/>
    <w:rsid w:val="004F7B8C"/>
    <w:rsid w:val="00500217"/>
    <w:rsid w:val="005005D2"/>
    <w:rsid w:val="00501FBD"/>
    <w:rsid w:val="00502B94"/>
    <w:rsid w:val="00502F6E"/>
    <w:rsid w:val="00504B72"/>
    <w:rsid w:val="00506C06"/>
    <w:rsid w:val="00510F3A"/>
    <w:rsid w:val="0051207D"/>
    <w:rsid w:val="005127B7"/>
    <w:rsid w:val="00512D53"/>
    <w:rsid w:val="005137B9"/>
    <w:rsid w:val="005142D3"/>
    <w:rsid w:val="00514ECE"/>
    <w:rsid w:val="00515296"/>
    <w:rsid w:val="00515A91"/>
    <w:rsid w:val="005171A0"/>
    <w:rsid w:val="0052049D"/>
    <w:rsid w:val="00520B4E"/>
    <w:rsid w:val="005212E6"/>
    <w:rsid w:val="00521FA9"/>
    <w:rsid w:val="00522A4B"/>
    <w:rsid w:val="005244B5"/>
    <w:rsid w:val="0052503B"/>
    <w:rsid w:val="005254E8"/>
    <w:rsid w:val="00526455"/>
    <w:rsid w:val="00526886"/>
    <w:rsid w:val="00527E62"/>
    <w:rsid w:val="0053029B"/>
    <w:rsid w:val="005308FA"/>
    <w:rsid w:val="00531286"/>
    <w:rsid w:val="0053140A"/>
    <w:rsid w:val="00531930"/>
    <w:rsid w:val="0053265B"/>
    <w:rsid w:val="00532EF0"/>
    <w:rsid w:val="00533D0D"/>
    <w:rsid w:val="005350EA"/>
    <w:rsid w:val="00536E27"/>
    <w:rsid w:val="00537461"/>
    <w:rsid w:val="00540C4D"/>
    <w:rsid w:val="00540E74"/>
    <w:rsid w:val="0054115B"/>
    <w:rsid w:val="00541B32"/>
    <w:rsid w:val="00544A78"/>
    <w:rsid w:val="00545CAB"/>
    <w:rsid w:val="005466ED"/>
    <w:rsid w:val="00546828"/>
    <w:rsid w:val="0054707F"/>
    <w:rsid w:val="0054714C"/>
    <w:rsid w:val="005471A2"/>
    <w:rsid w:val="0054757D"/>
    <w:rsid w:val="005476B0"/>
    <w:rsid w:val="00547CD8"/>
    <w:rsid w:val="0055041B"/>
    <w:rsid w:val="00551CE1"/>
    <w:rsid w:val="005525D0"/>
    <w:rsid w:val="00553E79"/>
    <w:rsid w:val="00553F0E"/>
    <w:rsid w:val="005545ED"/>
    <w:rsid w:val="00554F9D"/>
    <w:rsid w:val="00556AB3"/>
    <w:rsid w:val="00560009"/>
    <w:rsid w:val="00560F65"/>
    <w:rsid w:val="0056224B"/>
    <w:rsid w:val="0056299E"/>
    <w:rsid w:val="00565C1C"/>
    <w:rsid w:val="00566863"/>
    <w:rsid w:val="005669E0"/>
    <w:rsid w:val="00566BD7"/>
    <w:rsid w:val="005701A8"/>
    <w:rsid w:val="00571D78"/>
    <w:rsid w:val="00572491"/>
    <w:rsid w:val="00574C67"/>
    <w:rsid w:val="00576081"/>
    <w:rsid w:val="005766EA"/>
    <w:rsid w:val="00581C7C"/>
    <w:rsid w:val="005826DF"/>
    <w:rsid w:val="00583096"/>
    <w:rsid w:val="005837BF"/>
    <w:rsid w:val="00583934"/>
    <w:rsid w:val="005846A7"/>
    <w:rsid w:val="005848B9"/>
    <w:rsid w:val="005849A9"/>
    <w:rsid w:val="00586631"/>
    <w:rsid w:val="00586B28"/>
    <w:rsid w:val="00587490"/>
    <w:rsid w:val="005878BC"/>
    <w:rsid w:val="00590044"/>
    <w:rsid w:val="005902E7"/>
    <w:rsid w:val="00591215"/>
    <w:rsid w:val="00591F31"/>
    <w:rsid w:val="005931FF"/>
    <w:rsid w:val="005A00A3"/>
    <w:rsid w:val="005A1AAC"/>
    <w:rsid w:val="005A298E"/>
    <w:rsid w:val="005A2FE7"/>
    <w:rsid w:val="005A458A"/>
    <w:rsid w:val="005A5806"/>
    <w:rsid w:val="005A7EB9"/>
    <w:rsid w:val="005B1365"/>
    <w:rsid w:val="005B1373"/>
    <w:rsid w:val="005B29B3"/>
    <w:rsid w:val="005B3718"/>
    <w:rsid w:val="005B474A"/>
    <w:rsid w:val="005B4AF0"/>
    <w:rsid w:val="005B51DA"/>
    <w:rsid w:val="005B6176"/>
    <w:rsid w:val="005B6627"/>
    <w:rsid w:val="005B7FA3"/>
    <w:rsid w:val="005C09A5"/>
    <w:rsid w:val="005C118B"/>
    <w:rsid w:val="005C13C7"/>
    <w:rsid w:val="005C1D23"/>
    <w:rsid w:val="005C321D"/>
    <w:rsid w:val="005C3528"/>
    <w:rsid w:val="005C3CC0"/>
    <w:rsid w:val="005C457B"/>
    <w:rsid w:val="005C55E9"/>
    <w:rsid w:val="005C5A85"/>
    <w:rsid w:val="005C5B9A"/>
    <w:rsid w:val="005C7656"/>
    <w:rsid w:val="005D028D"/>
    <w:rsid w:val="005D0518"/>
    <w:rsid w:val="005D06C1"/>
    <w:rsid w:val="005D1168"/>
    <w:rsid w:val="005D1A13"/>
    <w:rsid w:val="005D2021"/>
    <w:rsid w:val="005D285D"/>
    <w:rsid w:val="005D34EE"/>
    <w:rsid w:val="005D39B8"/>
    <w:rsid w:val="005D41B4"/>
    <w:rsid w:val="005D496E"/>
    <w:rsid w:val="005D52D7"/>
    <w:rsid w:val="005D5456"/>
    <w:rsid w:val="005D5775"/>
    <w:rsid w:val="005D71A6"/>
    <w:rsid w:val="005D727C"/>
    <w:rsid w:val="005D7C6F"/>
    <w:rsid w:val="005E0405"/>
    <w:rsid w:val="005E0B13"/>
    <w:rsid w:val="005E14CF"/>
    <w:rsid w:val="005E1BE0"/>
    <w:rsid w:val="005E1CC3"/>
    <w:rsid w:val="005E2A83"/>
    <w:rsid w:val="005E38CE"/>
    <w:rsid w:val="005E45AD"/>
    <w:rsid w:val="005E4B51"/>
    <w:rsid w:val="005E572F"/>
    <w:rsid w:val="005E5B23"/>
    <w:rsid w:val="005E5FD4"/>
    <w:rsid w:val="005E69EE"/>
    <w:rsid w:val="005E72FF"/>
    <w:rsid w:val="005E79B0"/>
    <w:rsid w:val="005F13F4"/>
    <w:rsid w:val="005F1604"/>
    <w:rsid w:val="005F1A62"/>
    <w:rsid w:val="005F2963"/>
    <w:rsid w:val="005F3239"/>
    <w:rsid w:val="005F3C07"/>
    <w:rsid w:val="005F414C"/>
    <w:rsid w:val="005F4870"/>
    <w:rsid w:val="005F5349"/>
    <w:rsid w:val="005F5760"/>
    <w:rsid w:val="005F5800"/>
    <w:rsid w:val="005F5DAB"/>
    <w:rsid w:val="005F5DFC"/>
    <w:rsid w:val="006001DA"/>
    <w:rsid w:val="00600CD0"/>
    <w:rsid w:val="00602E32"/>
    <w:rsid w:val="00603154"/>
    <w:rsid w:val="00603F91"/>
    <w:rsid w:val="006065BA"/>
    <w:rsid w:val="0061466F"/>
    <w:rsid w:val="00614E77"/>
    <w:rsid w:val="006159C0"/>
    <w:rsid w:val="0061631B"/>
    <w:rsid w:val="006206D1"/>
    <w:rsid w:val="0062091B"/>
    <w:rsid w:val="006209CC"/>
    <w:rsid w:val="0062154B"/>
    <w:rsid w:val="00621C1D"/>
    <w:rsid w:val="00623D9E"/>
    <w:rsid w:val="00624251"/>
    <w:rsid w:val="0062502E"/>
    <w:rsid w:val="0062795A"/>
    <w:rsid w:val="00630C0C"/>
    <w:rsid w:val="00630C28"/>
    <w:rsid w:val="0063173B"/>
    <w:rsid w:val="0063230A"/>
    <w:rsid w:val="00632447"/>
    <w:rsid w:val="0063289A"/>
    <w:rsid w:val="00634890"/>
    <w:rsid w:val="00634FFF"/>
    <w:rsid w:val="006350DC"/>
    <w:rsid w:val="0063658F"/>
    <w:rsid w:val="00637885"/>
    <w:rsid w:val="00640310"/>
    <w:rsid w:val="00642541"/>
    <w:rsid w:val="00642861"/>
    <w:rsid w:val="006429BE"/>
    <w:rsid w:val="00643851"/>
    <w:rsid w:val="00643D77"/>
    <w:rsid w:val="006443D1"/>
    <w:rsid w:val="00644944"/>
    <w:rsid w:val="006464CB"/>
    <w:rsid w:val="0064740B"/>
    <w:rsid w:val="00647DCE"/>
    <w:rsid w:val="00650604"/>
    <w:rsid w:val="006510F9"/>
    <w:rsid w:val="00651A25"/>
    <w:rsid w:val="00651A43"/>
    <w:rsid w:val="00651E38"/>
    <w:rsid w:val="00652AFD"/>
    <w:rsid w:val="00653C57"/>
    <w:rsid w:val="0065480D"/>
    <w:rsid w:val="0065637E"/>
    <w:rsid w:val="00661A6F"/>
    <w:rsid w:val="00662412"/>
    <w:rsid w:val="00662C1D"/>
    <w:rsid w:val="00663581"/>
    <w:rsid w:val="00663BBE"/>
    <w:rsid w:val="00663C18"/>
    <w:rsid w:val="00664EC4"/>
    <w:rsid w:val="00665342"/>
    <w:rsid w:val="00665D06"/>
    <w:rsid w:val="00666561"/>
    <w:rsid w:val="0066730C"/>
    <w:rsid w:val="00667596"/>
    <w:rsid w:val="00672A2C"/>
    <w:rsid w:val="00673647"/>
    <w:rsid w:val="00673FA5"/>
    <w:rsid w:val="00680148"/>
    <w:rsid w:val="006829A1"/>
    <w:rsid w:val="00683AE2"/>
    <w:rsid w:val="006858A0"/>
    <w:rsid w:val="00691FC9"/>
    <w:rsid w:val="00692609"/>
    <w:rsid w:val="0069355C"/>
    <w:rsid w:val="00694101"/>
    <w:rsid w:val="0069453D"/>
    <w:rsid w:val="00696856"/>
    <w:rsid w:val="00696F91"/>
    <w:rsid w:val="00697A65"/>
    <w:rsid w:val="00697D48"/>
    <w:rsid w:val="006A372B"/>
    <w:rsid w:val="006A536D"/>
    <w:rsid w:val="006A5773"/>
    <w:rsid w:val="006B2B8D"/>
    <w:rsid w:val="006B46EB"/>
    <w:rsid w:val="006B57E0"/>
    <w:rsid w:val="006B736C"/>
    <w:rsid w:val="006C0A74"/>
    <w:rsid w:val="006C2C67"/>
    <w:rsid w:val="006C2E68"/>
    <w:rsid w:val="006C5061"/>
    <w:rsid w:val="006C56F2"/>
    <w:rsid w:val="006C5EB7"/>
    <w:rsid w:val="006C6245"/>
    <w:rsid w:val="006C6D03"/>
    <w:rsid w:val="006C709B"/>
    <w:rsid w:val="006D01B9"/>
    <w:rsid w:val="006D12F7"/>
    <w:rsid w:val="006D1964"/>
    <w:rsid w:val="006D266E"/>
    <w:rsid w:val="006D3BE5"/>
    <w:rsid w:val="006D49CB"/>
    <w:rsid w:val="006D4B98"/>
    <w:rsid w:val="006D5B11"/>
    <w:rsid w:val="006D5B2A"/>
    <w:rsid w:val="006D611A"/>
    <w:rsid w:val="006D7ACB"/>
    <w:rsid w:val="006D7EDC"/>
    <w:rsid w:val="006E1A6C"/>
    <w:rsid w:val="006E239B"/>
    <w:rsid w:val="006E2BA3"/>
    <w:rsid w:val="006E302B"/>
    <w:rsid w:val="006E38C6"/>
    <w:rsid w:val="006E41F5"/>
    <w:rsid w:val="006E4F62"/>
    <w:rsid w:val="006E5815"/>
    <w:rsid w:val="006E7F15"/>
    <w:rsid w:val="006F0F17"/>
    <w:rsid w:val="006F1F74"/>
    <w:rsid w:val="006F250E"/>
    <w:rsid w:val="006F2838"/>
    <w:rsid w:val="006F38B2"/>
    <w:rsid w:val="006F3E2E"/>
    <w:rsid w:val="006F48D9"/>
    <w:rsid w:val="006F5719"/>
    <w:rsid w:val="006F7525"/>
    <w:rsid w:val="0070038F"/>
    <w:rsid w:val="00700F90"/>
    <w:rsid w:val="00701B41"/>
    <w:rsid w:val="007047E2"/>
    <w:rsid w:val="007065A0"/>
    <w:rsid w:val="00706AD0"/>
    <w:rsid w:val="00706C77"/>
    <w:rsid w:val="00706E2B"/>
    <w:rsid w:val="00706FD3"/>
    <w:rsid w:val="007071D6"/>
    <w:rsid w:val="007078DB"/>
    <w:rsid w:val="00707FCA"/>
    <w:rsid w:val="00710437"/>
    <w:rsid w:val="00711BD6"/>
    <w:rsid w:val="0071214A"/>
    <w:rsid w:val="00712BE6"/>
    <w:rsid w:val="00713785"/>
    <w:rsid w:val="00714D9E"/>
    <w:rsid w:val="0071570F"/>
    <w:rsid w:val="007161FC"/>
    <w:rsid w:val="007175E1"/>
    <w:rsid w:val="007178F5"/>
    <w:rsid w:val="007201E5"/>
    <w:rsid w:val="00720D7E"/>
    <w:rsid w:val="00720EC6"/>
    <w:rsid w:val="00721A0F"/>
    <w:rsid w:val="00722C52"/>
    <w:rsid w:val="00723426"/>
    <w:rsid w:val="00723ED8"/>
    <w:rsid w:val="00725F3F"/>
    <w:rsid w:val="00726C4F"/>
    <w:rsid w:val="00727419"/>
    <w:rsid w:val="00727E04"/>
    <w:rsid w:val="00727E12"/>
    <w:rsid w:val="00731E3A"/>
    <w:rsid w:val="0073215D"/>
    <w:rsid w:val="007329D9"/>
    <w:rsid w:val="00733175"/>
    <w:rsid w:val="007339AB"/>
    <w:rsid w:val="0073456F"/>
    <w:rsid w:val="00735705"/>
    <w:rsid w:val="00736508"/>
    <w:rsid w:val="00740491"/>
    <w:rsid w:val="00741596"/>
    <w:rsid w:val="00742358"/>
    <w:rsid w:val="00742FFD"/>
    <w:rsid w:val="00743CE7"/>
    <w:rsid w:val="00744D11"/>
    <w:rsid w:val="00745006"/>
    <w:rsid w:val="00745179"/>
    <w:rsid w:val="0074703D"/>
    <w:rsid w:val="00750F1E"/>
    <w:rsid w:val="00751164"/>
    <w:rsid w:val="00752A7A"/>
    <w:rsid w:val="007531CD"/>
    <w:rsid w:val="007532D8"/>
    <w:rsid w:val="0075526D"/>
    <w:rsid w:val="00755427"/>
    <w:rsid w:val="0075615D"/>
    <w:rsid w:val="007566E4"/>
    <w:rsid w:val="007568CC"/>
    <w:rsid w:val="00756935"/>
    <w:rsid w:val="00756984"/>
    <w:rsid w:val="007603C2"/>
    <w:rsid w:val="007617CA"/>
    <w:rsid w:val="00761E08"/>
    <w:rsid w:val="00762826"/>
    <w:rsid w:val="00762858"/>
    <w:rsid w:val="00763AEE"/>
    <w:rsid w:val="007640FF"/>
    <w:rsid w:val="0076431C"/>
    <w:rsid w:val="00764C76"/>
    <w:rsid w:val="007650D8"/>
    <w:rsid w:val="007653E8"/>
    <w:rsid w:val="00765CAD"/>
    <w:rsid w:val="00766208"/>
    <w:rsid w:val="007668A7"/>
    <w:rsid w:val="00766F8B"/>
    <w:rsid w:val="007677A2"/>
    <w:rsid w:val="00770FA9"/>
    <w:rsid w:val="00772137"/>
    <w:rsid w:val="00772612"/>
    <w:rsid w:val="007749C0"/>
    <w:rsid w:val="007800BC"/>
    <w:rsid w:val="0078046A"/>
    <w:rsid w:val="0078171F"/>
    <w:rsid w:val="0078281B"/>
    <w:rsid w:val="00782CEC"/>
    <w:rsid w:val="00782F02"/>
    <w:rsid w:val="0078307B"/>
    <w:rsid w:val="0078423F"/>
    <w:rsid w:val="007844B2"/>
    <w:rsid w:val="007849BA"/>
    <w:rsid w:val="007862C2"/>
    <w:rsid w:val="00786FE5"/>
    <w:rsid w:val="007907CC"/>
    <w:rsid w:val="00791CCD"/>
    <w:rsid w:val="00791EC0"/>
    <w:rsid w:val="00792012"/>
    <w:rsid w:val="00792039"/>
    <w:rsid w:val="0079329F"/>
    <w:rsid w:val="00793307"/>
    <w:rsid w:val="007945FB"/>
    <w:rsid w:val="007949F5"/>
    <w:rsid w:val="007A00F2"/>
    <w:rsid w:val="007A1FF2"/>
    <w:rsid w:val="007A2194"/>
    <w:rsid w:val="007A4A72"/>
    <w:rsid w:val="007A5198"/>
    <w:rsid w:val="007A54E7"/>
    <w:rsid w:val="007A6383"/>
    <w:rsid w:val="007A6476"/>
    <w:rsid w:val="007A7F3A"/>
    <w:rsid w:val="007B01B7"/>
    <w:rsid w:val="007B03A3"/>
    <w:rsid w:val="007B0BA4"/>
    <w:rsid w:val="007B1051"/>
    <w:rsid w:val="007B1F44"/>
    <w:rsid w:val="007B236A"/>
    <w:rsid w:val="007B2AC1"/>
    <w:rsid w:val="007B3B69"/>
    <w:rsid w:val="007B4939"/>
    <w:rsid w:val="007B4E2D"/>
    <w:rsid w:val="007B5A89"/>
    <w:rsid w:val="007B6AC0"/>
    <w:rsid w:val="007B7BFF"/>
    <w:rsid w:val="007C294A"/>
    <w:rsid w:val="007C422F"/>
    <w:rsid w:val="007C6F65"/>
    <w:rsid w:val="007C7400"/>
    <w:rsid w:val="007D0101"/>
    <w:rsid w:val="007D0742"/>
    <w:rsid w:val="007D2285"/>
    <w:rsid w:val="007D29BA"/>
    <w:rsid w:val="007D3588"/>
    <w:rsid w:val="007D5131"/>
    <w:rsid w:val="007D5521"/>
    <w:rsid w:val="007D6A20"/>
    <w:rsid w:val="007D6B1F"/>
    <w:rsid w:val="007D752B"/>
    <w:rsid w:val="007D7ECB"/>
    <w:rsid w:val="007E0C15"/>
    <w:rsid w:val="007E1A46"/>
    <w:rsid w:val="007E1BF3"/>
    <w:rsid w:val="007E31DF"/>
    <w:rsid w:val="007E36AE"/>
    <w:rsid w:val="007F1361"/>
    <w:rsid w:val="007F33FA"/>
    <w:rsid w:val="007F3C1A"/>
    <w:rsid w:val="007F4530"/>
    <w:rsid w:val="007F4781"/>
    <w:rsid w:val="007F5729"/>
    <w:rsid w:val="007F579B"/>
    <w:rsid w:val="007F7A0F"/>
    <w:rsid w:val="00801F1A"/>
    <w:rsid w:val="008021A9"/>
    <w:rsid w:val="00803942"/>
    <w:rsid w:val="00805B0F"/>
    <w:rsid w:val="00805B19"/>
    <w:rsid w:val="00806BCA"/>
    <w:rsid w:val="00807132"/>
    <w:rsid w:val="0080785C"/>
    <w:rsid w:val="008100CF"/>
    <w:rsid w:val="00811710"/>
    <w:rsid w:val="00812B57"/>
    <w:rsid w:val="00812FBB"/>
    <w:rsid w:val="0081301A"/>
    <w:rsid w:val="00813740"/>
    <w:rsid w:val="00816E17"/>
    <w:rsid w:val="00822B2F"/>
    <w:rsid w:val="00822E7C"/>
    <w:rsid w:val="00823639"/>
    <w:rsid w:val="00823DF6"/>
    <w:rsid w:val="00824946"/>
    <w:rsid w:val="008252DE"/>
    <w:rsid w:val="008255BB"/>
    <w:rsid w:val="00826939"/>
    <w:rsid w:val="00827AE5"/>
    <w:rsid w:val="00833069"/>
    <w:rsid w:val="00833CC6"/>
    <w:rsid w:val="00834C00"/>
    <w:rsid w:val="008358D2"/>
    <w:rsid w:val="00843C51"/>
    <w:rsid w:val="00844483"/>
    <w:rsid w:val="00844C25"/>
    <w:rsid w:val="00844EB9"/>
    <w:rsid w:val="00845923"/>
    <w:rsid w:val="0084616E"/>
    <w:rsid w:val="00847EA2"/>
    <w:rsid w:val="00851C81"/>
    <w:rsid w:val="008542DF"/>
    <w:rsid w:val="00856D9B"/>
    <w:rsid w:val="008574D3"/>
    <w:rsid w:val="0086021F"/>
    <w:rsid w:val="008605BF"/>
    <w:rsid w:val="008607CF"/>
    <w:rsid w:val="008609D9"/>
    <w:rsid w:val="00860D1A"/>
    <w:rsid w:val="00861100"/>
    <w:rsid w:val="00865D21"/>
    <w:rsid w:val="008667C8"/>
    <w:rsid w:val="008672B7"/>
    <w:rsid w:val="0087002F"/>
    <w:rsid w:val="0087049B"/>
    <w:rsid w:val="008724E1"/>
    <w:rsid w:val="00873633"/>
    <w:rsid w:val="00875A3F"/>
    <w:rsid w:val="008815A9"/>
    <w:rsid w:val="00881F7F"/>
    <w:rsid w:val="00884FAB"/>
    <w:rsid w:val="00885112"/>
    <w:rsid w:val="00885FFA"/>
    <w:rsid w:val="00886CA8"/>
    <w:rsid w:val="00891332"/>
    <w:rsid w:val="008949B3"/>
    <w:rsid w:val="008953D6"/>
    <w:rsid w:val="0089621A"/>
    <w:rsid w:val="008966CA"/>
    <w:rsid w:val="008A0161"/>
    <w:rsid w:val="008A2E6E"/>
    <w:rsid w:val="008A3E35"/>
    <w:rsid w:val="008A3F01"/>
    <w:rsid w:val="008A4359"/>
    <w:rsid w:val="008A47FC"/>
    <w:rsid w:val="008A4925"/>
    <w:rsid w:val="008A4A92"/>
    <w:rsid w:val="008A58F0"/>
    <w:rsid w:val="008A6DC7"/>
    <w:rsid w:val="008A6E67"/>
    <w:rsid w:val="008B2612"/>
    <w:rsid w:val="008B2E8F"/>
    <w:rsid w:val="008B2FD3"/>
    <w:rsid w:val="008B4691"/>
    <w:rsid w:val="008B4A4D"/>
    <w:rsid w:val="008B6C92"/>
    <w:rsid w:val="008B72BE"/>
    <w:rsid w:val="008B7BE5"/>
    <w:rsid w:val="008C04D1"/>
    <w:rsid w:val="008C0550"/>
    <w:rsid w:val="008C0702"/>
    <w:rsid w:val="008C0747"/>
    <w:rsid w:val="008C17B3"/>
    <w:rsid w:val="008C197A"/>
    <w:rsid w:val="008C1A80"/>
    <w:rsid w:val="008C1C56"/>
    <w:rsid w:val="008C3C89"/>
    <w:rsid w:val="008C45E3"/>
    <w:rsid w:val="008C45F7"/>
    <w:rsid w:val="008C526C"/>
    <w:rsid w:val="008C53B1"/>
    <w:rsid w:val="008C7230"/>
    <w:rsid w:val="008D12BD"/>
    <w:rsid w:val="008D1E28"/>
    <w:rsid w:val="008D22E0"/>
    <w:rsid w:val="008D2C6A"/>
    <w:rsid w:val="008D2E64"/>
    <w:rsid w:val="008D48A9"/>
    <w:rsid w:val="008D76E2"/>
    <w:rsid w:val="008E1084"/>
    <w:rsid w:val="008E1676"/>
    <w:rsid w:val="008E17C7"/>
    <w:rsid w:val="008E1BDD"/>
    <w:rsid w:val="008E21B1"/>
    <w:rsid w:val="008E2EF2"/>
    <w:rsid w:val="008E3B0A"/>
    <w:rsid w:val="008E42DB"/>
    <w:rsid w:val="008E60F5"/>
    <w:rsid w:val="008E6483"/>
    <w:rsid w:val="008E6F49"/>
    <w:rsid w:val="008F1108"/>
    <w:rsid w:val="008F1347"/>
    <w:rsid w:val="008F1CD4"/>
    <w:rsid w:val="008F2F81"/>
    <w:rsid w:val="008F39FC"/>
    <w:rsid w:val="008F4BE6"/>
    <w:rsid w:val="008F4C2D"/>
    <w:rsid w:val="008F5195"/>
    <w:rsid w:val="008F5CA1"/>
    <w:rsid w:val="008F5F20"/>
    <w:rsid w:val="008F601C"/>
    <w:rsid w:val="008F612D"/>
    <w:rsid w:val="008F7241"/>
    <w:rsid w:val="008F75BC"/>
    <w:rsid w:val="008F7BBE"/>
    <w:rsid w:val="008F7DFF"/>
    <w:rsid w:val="00900169"/>
    <w:rsid w:val="009012F8"/>
    <w:rsid w:val="00901894"/>
    <w:rsid w:val="009028B7"/>
    <w:rsid w:val="00903BF2"/>
    <w:rsid w:val="00904EA3"/>
    <w:rsid w:val="00911D06"/>
    <w:rsid w:val="00911DC7"/>
    <w:rsid w:val="00913994"/>
    <w:rsid w:val="00917A08"/>
    <w:rsid w:val="00917E91"/>
    <w:rsid w:val="009220BE"/>
    <w:rsid w:val="00922980"/>
    <w:rsid w:val="00923FB7"/>
    <w:rsid w:val="00924314"/>
    <w:rsid w:val="00924779"/>
    <w:rsid w:val="00925BD6"/>
    <w:rsid w:val="009265B9"/>
    <w:rsid w:val="0092669A"/>
    <w:rsid w:val="009267C2"/>
    <w:rsid w:val="00926A9A"/>
    <w:rsid w:val="00927C26"/>
    <w:rsid w:val="00931B6C"/>
    <w:rsid w:val="00931E89"/>
    <w:rsid w:val="0093266A"/>
    <w:rsid w:val="0093283C"/>
    <w:rsid w:val="0093328D"/>
    <w:rsid w:val="0093414A"/>
    <w:rsid w:val="009345F9"/>
    <w:rsid w:val="00934639"/>
    <w:rsid w:val="00934AE8"/>
    <w:rsid w:val="00935CDC"/>
    <w:rsid w:val="00941299"/>
    <w:rsid w:val="0094291D"/>
    <w:rsid w:val="00942CF7"/>
    <w:rsid w:val="009442C7"/>
    <w:rsid w:val="0094470B"/>
    <w:rsid w:val="0094486C"/>
    <w:rsid w:val="00945546"/>
    <w:rsid w:val="0094561C"/>
    <w:rsid w:val="00945E07"/>
    <w:rsid w:val="00946392"/>
    <w:rsid w:val="00946F59"/>
    <w:rsid w:val="00947F6A"/>
    <w:rsid w:val="009527D5"/>
    <w:rsid w:val="00952CE6"/>
    <w:rsid w:val="009534A2"/>
    <w:rsid w:val="009537A2"/>
    <w:rsid w:val="00953C36"/>
    <w:rsid w:val="0095460A"/>
    <w:rsid w:val="00955493"/>
    <w:rsid w:val="009554B2"/>
    <w:rsid w:val="0095597E"/>
    <w:rsid w:val="009566A8"/>
    <w:rsid w:val="009603E9"/>
    <w:rsid w:val="00960792"/>
    <w:rsid w:val="00962F18"/>
    <w:rsid w:val="00963133"/>
    <w:rsid w:val="00963A28"/>
    <w:rsid w:val="009663D9"/>
    <w:rsid w:val="00966DF8"/>
    <w:rsid w:val="00970491"/>
    <w:rsid w:val="009712A8"/>
    <w:rsid w:val="00972AA5"/>
    <w:rsid w:val="00973851"/>
    <w:rsid w:val="00973A32"/>
    <w:rsid w:val="00974B93"/>
    <w:rsid w:val="00976742"/>
    <w:rsid w:val="009767BF"/>
    <w:rsid w:val="00976DE5"/>
    <w:rsid w:val="00976E2A"/>
    <w:rsid w:val="00981DA3"/>
    <w:rsid w:val="00982502"/>
    <w:rsid w:val="00982C44"/>
    <w:rsid w:val="009850EC"/>
    <w:rsid w:val="00987731"/>
    <w:rsid w:val="00987B0C"/>
    <w:rsid w:val="00990A1A"/>
    <w:rsid w:val="00992F1C"/>
    <w:rsid w:val="009931A9"/>
    <w:rsid w:val="00994C8A"/>
    <w:rsid w:val="00994DD9"/>
    <w:rsid w:val="0099584E"/>
    <w:rsid w:val="00996DDD"/>
    <w:rsid w:val="00997FBC"/>
    <w:rsid w:val="009A10D6"/>
    <w:rsid w:val="009A1B8A"/>
    <w:rsid w:val="009A257C"/>
    <w:rsid w:val="009A25EE"/>
    <w:rsid w:val="009A2642"/>
    <w:rsid w:val="009A3C92"/>
    <w:rsid w:val="009A3F35"/>
    <w:rsid w:val="009A562E"/>
    <w:rsid w:val="009A56C1"/>
    <w:rsid w:val="009A60C9"/>
    <w:rsid w:val="009A6473"/>
    <w:rsid w:val="009A652A"/>
    <w:rsid w:val="009A75EB"/>
    <w:rsid w:val="009A77B4"/>
    <w:rsid w:val="009A7AF5"/>
    <w:rsid w:val="009B02D9"/>
    <w:rsid w:val="009B098E"/>
    <w:rsid w:val="009B309F"/>
    <w:rsid w:val="009B333D"/>
    <w:rsid w:val="009B3372"/>
    <w:rsid w:val="009B371A"/>
    <w:rsid w:val="009B3760"/>
    <w:rsid w:val="009B392A"/>
    <w:rsid w:val="009B3B05"/>
    <w:rsid w:val="009B4309"/>
    <w:rsid w:val="009B4624"/>
    <w:rsid w:val="009B46BB"/>
    <w:rsid w:val="009B4CCF"/>
    <w:rsid w:val="009B5F34"/>
    <w:rsid w:val="009B72B6"/>
    <w:rsid w:val="009B796E"/>
    <w:rsid w:val="009B7E96"/>
    <w:rsid w:val="009B7F1E"/>
    <w:rsid w:val="009B7F9F"/>
    <w:rsid w:val="009C00E5"/>
    <w:rsid w:val="009C0933"/>
    <w:rsid w:val="009C1068"/>
    <w:rsid w:val="009C2842"/>
    <w:rsid w:val="009C2852"/>
    <w:rsid w:val="009C35AB"/>
    <w:rsid w:val="009C435D"/>
    <w:rsid w:val="009C4468"/>
    <w:rsid w:val="009C4B6D"/>
    <w:rsid w:val="009C5740"/>
    <w:rsid w:val="009C5E10"/>
    <w:rsid w:val="009C701F"/>
    <w:rsid w:val="009C7366"/>
    <w:rsid w:val="009C7DBD"/>
    <w:rsid w:val="009D00B0"/>
    <w:rsid w:val="009D00C8"/>
    <w:rsid w:val="009D0E28"/>
    <w:rsid w:val="009D11B5"/>
    <w:rsid w:val="009D28E7"/>
    <w:rsid w:val="009D2F6E"/>
    <w:rsid w:val="009D53C4"/>
    <w:rsid w:val="009D5E94"/>
    <w:rsid w:val="009D654C"/>
    <w:rsid w:val="009D7050"/>
    <w:rsid w:val="009D73D3"/>
    <w:rsid w:val="009E1FCB"/>
    <w:rsid w:val="009E27EB"/>
    <w:rsid w:val="009E2FA3"/>
    <w:rsid w:val="009E4DBF"/>
    <w:rsid w:val="009E4FFE"/>
    <w:rsid w:val="009E6639"/>
    <w:rsid w:val="009E7787"/>
    <w:rsid w:val="009F019C"/>
    <w:rsid w:val="009F0CAD"/>
    <w:rsid w:val="009F1623"/>
    <w:rsid w:val="009F1AD8"/>
    <w:rsid w:val="009F1C69"/>
    <w:rsid w:val="009F2B61"/>
    <w:rsid w:val="009F346D"/>
    <w:rsid w:val="009F34F8"/>
    <w:rsid w:val="009F43C9"/>
    <w:rsid w:val="009F4E6A"/>
    <w:rsid w:val="009F5284"/>
    <w:rsid w:val="009F6BD1"/>
    <w:rsid w:val="00A008A7"/>
    <w:rsid w:val="00A00B9D"/>
    <w:rsid w:val="00A00E54"/>
    <w:rsid w:val="00A00FFC"/>
    <w:rsid w:val="00A018E7"/>
    <w:rsid w:val="00A01F0A"/>
    <w:rsid w:val="00A02160"/>
    <w:rsid w:val="00A02B86"/>
    <w:rsid w:val="00A030D7"/>
    <w:rsid w:val="00A03769"/>
    <w:rsid w:val="00A0443D"/>
    <w:rsid w:val="00A04847"/>
    <w:rsid w:val="00A04A1B"/>
    <w:rsid w:val="00A0661B"/>
    <w:rsid w:val="00A06BAD"/>
    <w:rsid w:val="00A071B6"/>
    <w:rsid w:val="00A071E6"/>
    <w:rsid w:val="00A07569"/>
    <w:rsid w:val="00A078E1"/>
    <w:rsid w:val="00A10B31"/>
    <w:rsid w:val="00A10C67"/>
    <w:rsid w:val="00A111AB"/>
    <w:rsid w:val="00A12692"/>
    <w:rsid w:val="00A1333E"/>
    <w:rsid w:val="00A13E94"/>
    <w:rsid w:val="00A14185"/>
    <w:rsid w:val="00A14EAC"/>
    <w:rsid w:val="00A14F1E"/>
    <w:rsid w:val="00A15579"/>
    <w:rsid w:val="00A15EEE"/>
    <w:rsid w:val="00A15FA8"/>
    <w:rsid w:val="00A16E19"/>
    <w:rsid w:val="00A204C2"/>
    <w:rsid w:val="00A227E3"/>
    <w:rsid w:val="00A249A1"/>
    <w:rsid w:val="00A2588C"/>
    <w:rsid w:val="00A31440"/>
    <w:rsid w:val="00A31529"/>
    <w:rsid w:val="00A31A42"/>
    <w:rsid w:val="00A32572"/>
    <w:rsid w:val="00A33568"/>
    <w:rsid w:val="00A350B8"/>
    <w:rsid w:val="00A356DF"/>
    <w:rsid w:val="00A35A71"/>
    <w:rsid w:val="00A3684F"/>
    <w:rsid w:val="00A36CE8"/>
    <w:rsid w:val="00A36D7C"/>
    <w:rsid w:val="00A36F14"/>
    <w:rsid w:val="00A37720"/>
    <w:rsid w:val="00A37BBC"/>
    <w:rsid w:val="00A4053B"/>
    <w:rsid w:val="00A41B1E"/>
    <w:rsid w:val="00A41CA1"/>
    <w:rsid w:val="00A44028"/>
    <w:rsid w:val="00A453CD"/>
    <w:rsid w:val="00A46A58"/>
    <w:rsid w:val="00A46DE9"/>
    <w:rsid w:val="00A471BF"/>
    <w:rsid w:val="00A5014B"/>
    <w:rsid w:val="00A5389B"/>
    <w:rsid w:val="00A540EF"/>
    <w:rsid w:val="00A559BA"/>
    <w:rsid w:val="00A5604F"/>
    <w:rsid w:val="00A5612F"/>
    <w:rsid w:val="00A616FE"/>
    <w:rsid w:val="00A636E0"/>
    <w:rsid w:val="00A6660D"/>
    <w:rsid w:val="00A6798C"/>
    <w:rsid w:val="00A67E86"/>
    <w:rsid w:val="00A72DDC"/>
    <w:rsid w:val="00A74682"/>
    <w:rsid w:val="00A74E80"/>
    <w:rsid w:val="00A76257"/>
    <w:rsid w:val="00A76CDF"/>
    <w:rsid w:val="00A8056E"/>
    <w:rsid w:val="00A80E68"/>
    <w:rsid w:val="00A82572"/>
    <w:rsid w:val="00A8277A"/>
    <w:rsid w:val="00A82F2A"/>
    <w:rsid w:val="00A85F30"/>
    <w:rsid w:val="00A906DC"/>
    <w:rsid w:val="00A95AAD"/>
    <w:rsid w:val="00A964ED"/>
    <w:rsid w:val="00A96CA1"/>
    <w:rsid w:val="00A97317"/>
    <w:rsid w:val="00A97CB6"/>
    <w:rsid w:val="00AA0030"/>
    <w:rsid w:val="00AA16E1"/>
    <w:rsid w:val="00AA297A"/>
    <w:rsid w:val="00AA297B"/>
    <w:rsid w:val="00AA36AF"/>
    <w:rsid w:val="00AA388F"/>
    <w:rsid w:val="00AA46EB"/>
    <w:rsid w:val="00AA5621"/>
    <w:rsid w:val="00AA5997"/>
    <w:rsid w:val="00AA5D3D"/>
    <w:rsid w:val="00AB0044"/>
    <w:rsid w:val="00AB09DE"/>
    <w:rsid w:val="00AB0D4F"/>
    <w:rsid w:val="00AB206B"/>
    <w:rsid w:val="00AB221A"/>
    <w:rsid w:val="00AB2479"/>
    <w:rsid w:val="00AB24E5"/>
    <w:rsid w:val="00AB2C93"/>
    <w:rsid w:val="00AB30E5"/>
    <w:rsid w:val="00AB39AC"/>
    <w:rsid w:val="00AB4DC8"/>
    <w:rsid w:val="00AB609F"/>
    <w:rsid w:val="00AB6A84"/>
    <w:rsid w:val="00AB7560"/>
    <w:rsid w:val="00AC0325"/>
    <w:rsid w:val="00AC1077"/>
    <w:rsid w:val="00AC239A"/>
    <w:rsid w:val="00AC3370"/>
    <w:rsid w:val="00AC35BE"/>
    <w:rsid w:val="00AC36E4"/>
    <w:rsid w:val="00AC4EE0"/>
    <w:rsid w:val="00AC5523"/>
    <w:rsid w:val="00AC64A7"/>
    <w:rsid w:val="00AC6C69"/>
    <w:rsid w:val="00AD0095"/>
    <w:rsid w:val="00AD0220"/>
    <w:rsid w:val="00AD140B"/>
    <w:rsid w:val="00AD2A82"/>
    <w:rsid w:val="00AD2BE0"/>
    <w:rsid w:val="00AD4230"/>
    <w:rsid w:val="00AD5885"/>
    <w:rsid w:val="00AD5A9C"/>
    <w:rsid w:val="00AD607E"/>
    <w:rsid w:val="00AD6451"/>
    <w:rsid w:val="00AE19CF"/>
    <w:rsid w:val="00AE257C"/>
    <w:rsid w:val="00AE294E"/>
    <w:rsid w:val="00AE56D4"/>
    <w:rsid w:val="00AF0E11"/>
    <w:rsid w:val="00AF125C"/>
    <w:rsid w:val="00AF168A"/>
    <w:rsid w:val="00AF2FBB"/>
    <w:rsid w:val="00AF52B2"/>
    <w:rsid w:val="00AF58BC"/>
    <w:rsid w:val="00AF6DF6"/>
    <w:rsid w:val="00B0057A"/>
    <w:rsid w:val="00B01483"/>
    <w:rsid w:val="00B01DBE"/>
    <w:rsid w:val="00B0257E"/>
    <w:rsid w:val="00B04F5C"/>
    <w:rsid w:val="00B05272"/>
    <w:rsid w:val="00B057AC"/>
    <w:rsid w:val="00B05933"/>
    <w:rsid w:val="00B1033B"/>
    <w:rsid w:val="00B10696"/>
    <w:rsid w:val="00B11822"/>
    <w:rsid w:val="00B12122"/>
    <w:rsid w:val="00B14342"/>
    <w:rsid w:val="00B14C09"/>
    <w:rsid w:val="00B158E7"/>
    <w:rsid w:val="00B214F5"/>
    <w:rsid w:val="00B23CB1"/>
    <w:rsid w:val="00B24ED1"/>
    <w:rsid w:val="00B258CA"/>
    <w:rsid w:val="00B279DE"/>
    <w:rsid w:val="00B30B81"/>
    <w:rsid w:val="00B32204"/>
    <w:rsid w:val="00B32793"/>
    <w:rsid w:val="00B33F1B"/>
    <w:rsid w:val="00B34F89"/>
    <w:rsid w:val="00B35558"/>
    <w:rsid w:val="00B35DF2"/>
    <w:rsid w:val="00B35F17"/>
    <w:rsid w:val="00B3603E"/>
    <w:rsid w:val="00B363BE"/>
    <w:rsid w:val="00B36B82"/>
    <w:rsid w:val="00B4138B"/>
    <w:rsid w:val="00B41B38"/>
    <w:rsid w:val="00B426FE"/>
    <w:rsid w:val="00B43050"/>
    <w:rsid w:val="00B4683E"/>
    <w:rsid w:val="00B50314"/>
    <w:rsid w:val="00B5275C"/>
    <w:rsid w:val="00B53BE6"/>
    <w:rsid w:val="00B544D6"/>
    <w:rsid w:val="00B5478B"/>
    <w:rsid w:val="00B5594F"/>
    <w:rsid w:val="00B56248"/>
    <w:rsid w:val="00B60BD7"/>
    <w:rsid w:val="00B64070"/>
    <w:rsid w:val="00B64BDC"/>
    <w:rsid w:val="00B64EDB"/>
    <w:rsid w:val="00B65032"/>
    <w:rsid w:val="00B650E0"/>
    <w:rsid w:val="00B65B19"/>
    <w:rsid w:val="00B66E32"/>
    <w:rsid w:val="00B66E97"/>
    <w:rsid w:val="00B66FC8"/>
    <w:rsid w:val="00B67408"/>
    <w:rsid w:val="00B70904"/>
    <w:rsid w:val="00B7139A"/>
    <w:rsid w:val="00B71906"/>
    <w:rsid w:val="00B72430"/>
    <w:rsid w:val="00B73566"/>
    <w:rsid w:val="00B73967"/>
    <w:rsid w:val="00B74D0C"/>
    <w:rsid w:val="00B8016A"/>
    <w:rsid w:val="00B801B2"/>
    <w:rsid w:val="00B80997"/>
    <w:rsid w:val="00B818BB"/>
    <w:rsid w:val="00B82087"/>
    <w:rsid w:val="00B8301C"/>
    <w:rsid w:val="00B831FE"/>
    <w:rsid w:val="00B86145"/>
    <w:rsid w:val="00B865F1"/>
    <w:rsid w:val="00B86A1D"/>
    <w:rsid w:val="00B87A3D"/>
    <w:rsid w:val="00B87FDE"/>
    <w:rsid w:val="00B9014F"/>
    <w:rsid w:val="00B90590"/>
    <w:rsid w:val="00B90802"/>
    <w:rsid w:val="00B91F68"/>
    <w:rsid w:val="00B93E96"/>
    <w:rsid w:val="00B951C9"/>
    <w:rsid w:val="00B95533"/>
    <w:rsid w:val="00B959E4"/>
    <w:rsid w:val="00B95D3F"/>
    <w:rsid w:val="00BA01FF"/>
    <w:rsid w:val="00BA04A9"/>
    <w:rsid w:val="00BA13E9"/>
    <w:rsid w:val="00BA56D5"/>
    <w:rsid w:val="00BA5B56"/>
    <w:rsid w:val="00BA64B3"/>
    <w:rsid w:val="00BB00E4"/>
    <w:rsid w:val="00BB06D9"/>
    <w:rsid w:val="00BB2698"/>
    <w:rsid w:val="00BB274B"/>
    <w:rsid w:val="00BB43A2"/>
    <w:rsid w:val="00BB46E1"/>
    <w:rsid w:val="00BB6073"/>
    <w:rsid w:val="00BB64E6"/>
    <w:rsid w:val="00BB6B75"/>
    <w:rsid w:val="00BB6D2F"/>
    <w:rsid w:val="00BB73C8"/>
    <w:rsid w:val="00BC0C93"/>
    <w:rsid w:val="00BC25EB"/>
    <w:rsid w:val="00BC3292"/>
    <w:rsid w:val="00BC3C7E"/>
    <w:rsid w:val="00BC55FF"/>
    <w:rsid w:val="00BC58B7"/>
    <w:rsid w:val="00BC678E"/>
    <w:rsid w:val="00BC7D42"/>
    <w:rsid w:val="00BD0741"/>
    <w:rsid w:val="00BD12FA"/>
    <w:rsid w:val="00BD2C70"/>
    <w:rsid w:val="00BD3C34"/>
    <w:rsid w:val="00BD4534"/>
    <w:rsid w:val="00BD4A32"/>
    <w:rsid w:val="00BD5CE2"/>
    <w:rsid w:val="00BD60B4"/>
    <w:rsid w:val="00BD6313"/>
    <w:rsid w:val="00BD6406"/>
    <w:rsid w:val="00BD7300"/>
    <w:rsid w:val="00BD76CA"/>
    <w:rsid w:val="00BE009F"/>
    <w:rsid w:val="00BE2EA0"/>
    <w:rsid w:val="00BE3A7A"/>
    <w:rsid w:val="00BE43D5"/>
    <w:rsid w:val="00BE68C8"/>
    <w:rsid w:val="00BE6970"/>
    <w:rsid w:val="00BE72E9"/>
    <w:rsid w:val="00BF0838"/>
    <w:rsid w:val="00BF111F"/>
    <w:rsid w:val="00BF11B8"/>
    <w:rsid w:val="00BF207B"/>
    <w:rsid w:val="00BF2C4C"/>
    <w:rsid w:val="00BF4F20"/>
    <w:rsid w:val="00BF57F6"/>
    <w:rsid w:val="00BF5FCA"/>
    <w:rsid w:val="00BF6308"/>
    <w:rsid w:val="00BF7A63"/>
    <w:rsid w:val="00BF7C58"/>
    <w:rsid w:val="00C00E2E"/>
    <w:rsid w:val="00C03803"/>
    <w:rsid w:val="00C062C4"/>
    <w:rsid w:val="00C06B86"/>
    <w:rsid w:val="00C07403"/>
    <w:rsid w:val="00C07D8D"/>
    <w:rsid w:val="00C10D74"/>
    <w:rsid w:val="00C1312A"/>
    <w:rsid w:val="00C133A9"/>
    <w:rsid w:val="00C13706"/>
    <w:rsid w:val="00C13A43"/>
    <w:rsid w:val="00C15CB6"/>
    <w:rsid w:val="00C162FA"/>
    <w:rsid w:val="00C173FC"/>
    <w:rsid w:val="00C179F7"/>
    <w:rsid w:val="00C20F8D"/>
    <w:rsid w:val="00C216D6"/>
    <w:rsid w:val="00C21F68"/>
    <w:rsid w:val="00C24019"/>
    <w:rsid w:val="00C26E1E"/>
    <w:rsid w:val="00C27FD6"/>
    <w:rsid w:val="00C3092A"/>
    <w:rsid w:val="00C30A6F"/>
    <w:rsid w:val="00C30ADB"/>
    <w:rsid w:val="00C30EC9"/>
    <w:rsid w:val="00C323D4"/>
    <w:rsid w:val="00C32976"/>
    <w:rsid w:val="00C348BF"/>
    <w:rsid w:val="00C349E5"/>
    <w:rsid w:val="00C37C13"/>
    <w:rsid w:val="00C412F8"/>
    <w:rsid w:val="00C42F07"/>
    <w:rsid w:val="00C50FD6"/>
    <w:rsid w:val="00C510CB"/>
    <w:rsid w:val="00C513E9"/>
    <w:rsid w:val="00C516A3"/>
    <w:rsid w:val="00C5394B"/>
    <w:rsid w:val="00C5419E"/>
    <w:rsid w:val="00C56A55"/>
    <w:rsid w:val="00C57DFC"/>
    <w:rsid w:val="00C601AF"/>
    <w:rsid w:val="00C61F03"/>
    <w:rsid w:val="00C634B0"/>
    <w:rsid w:val="00C702D3"/>
    <w:rsid w:val="00C70A77"/>
    <w:rsid w:val="00C70EDC"/>
    <w:rsid w:val="00C70F20"/>
    <w:rsid w:val="00C723F0"/>
    <w:rsid w:val="00C74896"/>
    <w:rsid w:val="00C74B6D"/>
    <w:rsid w:val="00C77077"/>
    <w:rsid w:val="00C8022A"/>
    <w:rsid w:val="00C803CB"/>
    <w:rsid w:val="00C807A4"/>
    <w:rsid w:val="00C815C0"/>
    <w:rsid w:val="00C81BF5"/>
    <w:rsid w:val="00C81E11"/>
    <w:rsid w:val="00C81F44"/>
    <w:rsid w:val="00C82C96"/>
    <w:rsid w:val="00C82E0A"/>
    <w:rsid w:val="00C83BC5"/>
    <w:rsid w:val="00C913DF"/>
    <w:rsid w:val="00C91B4B"/>
    <w:rsid w:val="00C92A43"/>
    <w:rsid w:val="00C93A1D"/>
    <w:rsid w:val="00C93E0E"/>
    <w:rsid w:val="00C9478A"/>
    <w:rsid w:val="00C95652"/>
    <w:rsid w:val="00C95B60"/>
    <w:rsid w:val="00C96A93"/>
    <w:rsid w:val="00C978ED"/>
    <w:rsid w:val="00CA0723"/>
    <w:rsid w:val="00CA18BC"/>
    <w:rsid w:val="00CA2C83"/>
    <w:rsid w:val="00CA2EC8"/>
    <w:rsid w:val="00CA49AE"/>
    <w:rsid w:val="00CA5D12"/>
    <w:rsid w:val="00CA62F1"/>
    <w:rsid w:val="00CA78BD"/>
    <w:rsid w:val="00CB0629"/>
    <w:rsid w:val="00CB07EC"/>
    <w:rsid w:val="00CB2A0F"/>
    <w:rsid w:val="00CB40BE"/>
    <w:rsid w:val="00CB46D4"/>
    <w:rsid w:val="00CB4CCB"/>
    <w:rsid w:val="00CB5109"/>
    <w:rsid w:val="00CC0212"/>
    <w:rsid w:val="00CC272E"/>
    <w:rsid w:val="00CC4922"/>
    <w:rsid w:val="00CC49E4"/>
    <w:rsid w:val="00CC508B"/>
    <w:rsid w:val="00CC6491"/>
    <w:rsid w:val="00CD01BA"/>
    <w:rsid w:val="00CD05CE"/>
    <w:rsid w:val="00CD45AB"/>
    <w:rsid w:val="00CD4E8B"/>
    <w:rsid w:val="00CD5677"/>
    <w:rsid w:val="00CD584E"/>
    <w:rsid w:val="00CD59C2"/>
    <w:rsid w:val="00CD5C78"/>
    <w:rsid w:val="00CE0383"/>
    <w:rsid w:val="00CE04D4"/>
    <w:rsid w:val="00CE1763"/>
    <w:rsid w:val="00CE1CEE"/>
    <w:rsid w:val="00CE2303"/>
    <w:rsid w:val="00CE2488"/>
    <w:rsid w:val="00CE31C8"/>
    <w:rsid w:val="00CE42B1"/>
    <w:rsid w:val="00CE5518"/>
    <w:rsid w:val="00CE5D4C"/>
    <w:rsid w:val="00CE61F6"/>
    <w:rsid w:val="00CE7C44"/>
    <w:rsid w:val="00CF096A"/>
    <w:rsid w:val="00CF0C5B"/>
    <w:rsid w:val="00CF255F"/>
    <w:rsid w:val="00CF685B"/>
    <w:rsid w:val="00CF6CA0"/>
    <w:rsid w:val="00CF715A"/>
    <w:rsid w:val="00D00CFB"/>
    <w:rsid w:val="00D02D0D"/>
    <w:rsid w:val="00D03AB8"/>
    <w:rsid w:val="00D043B7"/>
    <w:rsid w:val="00D048E9"/>
    <w:rsid w:val="00D04A71"/>
    <w:rsid w:val="00D0650C"/>
    <w:rsid w:val="00D07311"/>
    <w:rsid w:val="00D07530"/>
    <w:rsid w:val="00D11230"/>
    <w:rsid w:val="00D11C34"/>
    <w:rsid w:val="00D11D6B"/>
    <w:rsid w:val="00D11D78"/>
    <w:rsid w:val="00D13BBC"/>
    <w:rsid w:val="00D13D50"/>
    <w:rsid w:val="00D13F10"/>
    <w:rsid w:val="00D14707"/>
    <w:rsid w:val="00D160A1"/>
    <w:rsid w:val="00D2067B"/>
    <w:rsid w:val="00D2084F"/>
    <w:rsid w:val="00D21074"/>
    <w:rsid w:val="00D21B3C"/>
    <w:rsid w:val="00D22028"/>
    <w:rsid w:val="00D2234B"/>
    <w:rsid w:val="00D230EC"/>
    <w:rsid w:val="00D23A07"/>
    <w:rsid w:val="00D24475"/>
    <w:rsid w:val="00D24BCB"/>
    <w:rsid w:val="00D24CF8"/>
    <w:rsid w:val="00D25D49"/>
    <w:rsid w:val="00D26326"/>
    <w:rsid w:val="00D274FA"/>
    <w:rsid w:val="00D30A8B"/>
    <w:rsid w:val="00D326A5"/>
    <w:rsid w:val="00D32D7A"/>
    <w:rsid w:val="00D3363D"/>
    <w:rsid w:val="00D34315"/>
    <w:rsid w:val="00D35C3E"/>
    <w:rsid w:val="00D36A97"/>
    <w:rsid w:val="00D41AB0"/>
    <w:rsid w:val="00D41E96"/>
    <w:rsid w:val="00D42934"/>
    <w:rsid w:val="00D42B68"/>
    <w:rsid w:val="00D43375"/>
    <w:rsid w:val="00D4378C"/>
    <w:rsid w:val="00D45406"/>
    <w:rsid w:val="00D45512"/>
    <w:rsid w:val="00D45C63"/>
    <w:rsid w:val="00D46553"/>
    <w:rsid w:val="00D47425"/>
    <w:rsid w:val="00D4756E"/>
    <w:rsid w:val="00D4761C"/>
    <w:rsid w:val="00D5234E"/>
    <w:rsid w:val="00D5251C"/>
    <w:rsid w:val="00D54402"/>
    <w:rsid w:val="00D546C2"/>
    <w:rsid w:val="00D56E21"/>
    <w:rsid w:val="00D57A97"/>
    <w:rsid w:val="00D614F9"/>
    <w:rsid w:val="00D61F59"/>
    <w:rsid w:val="00D62B9C"/>
    <w:rsid w:val="00D6366F"/>
    <w:rsid w:val="00D638DC"/>
    <w:rsid w:val="00D63B80"/>
    <w:rsid w:val="00D63C76"/>
    <w:rsid w:val="00D65058"/>
    <w:rsid w:val="00D6582C"/>
    <w:rsid w:val="00D65FA5"/>
    <w:rsid w:val="00D67E16"/>
    <w:rsid w:val="00D71A16"/>
    <w:rsid w:val="00D71A2B"/>
    <w:rsid w:val="00D757C6"/>
    <w:rsid w:val="00D75891"/>
    <w:rsid w:val="00D7748C"/>
    <w:rsid w:val="00D77641"/>
    <w:rsid w:val="00D77812"/>
    <w:rsid w:val="00D77D2D"/>
    <w:rsid w:val="00D77D9D"/>
    <w:rsid w:val="00D80432"/>
    <w:rsid w:val="00D804D4"/>
    <w:rsid w:val="00D806BC"/>
    <w:rsid w:val="00D80E76"/>
    <w:rsid w:val="00D82854"/>
    <w:rsid w:val="00D84570"/>
    <w:rsid w:val="00D85EE5"/>
    <w:rsid w:val="00D86640"/>
    <w:rsid w:val="00D86CF0"/>
    <w:rsid w:val="00D86E92"/>
    <w:rsid w:val="00D873BB"/>
    <w:rsid w:val="00D87468"/>
    <w:rsid w:val="00D87EC5"/>
    <w:rsid w:val="00D932EF"/>
    <w:rsid w:val="00D946F9"/>
    <w:rsid w:val="00D96333"/>
    <w:rsid w:val="00DA0DE6"/>
    <w:rsid w:val="00DA1122"/>
    <w:rsid w:val="00DA1BC5"/>
    <w:rsid w:val="00DA2BAC"/>
    <w:rsid w:val="00DA2E9E"/>
    <w:rsid w:val="00DA326E"/>
    <w:rsid w:val="00DA4C34"/>
    <w:rsid w:val="00DA5882"/>
    <w:rsid w:val="00DB03B0"/>
    <w:rsid w:val="00DB0505"/>
    <w:rsid w:val="00DB08A1"/>
    <w:rsid w:val="00DB0CAE"/>
    <w:rsid w:val="00DB212F"/>
    <w:rsid w:val="00DB2A23"/>
    <w:rsid w:val="00DB36C4"/>
    <w:rsid w:val="00DB3BF1"/>
    <w:rsid w:val="00DB68CB"/>
    <w:rsid w:val="00DB70A7"/>
    <w:rsid w:val="00DB7916"/>
    <w:rsid w:val="00DC0D17"/>
    <w:rsid w:val="00DC15AE"/>
    <w:rsid w:val="00DC1AE3"/>
    <w:rsid w:val="00DC1D38"/>
    <w:rsid w:val="00DC43B8"/>
    <w:rsid w:val="00DC50DC"/>
    <w:rsid w:val="00DC51A6"/>
    <w:rsid w:val="00DC72F8"/>
    <w:rsid w:val="00DC7FD3"/>
    <w:rsid w:val="00DD1359"/>
    <w:rsid w:val="00DD1D8D"/>
    <w:rsid w:val="00DD2563"/>
    <w:rsid w:val="00DD26EC"/>
    <w:rsid w:val="00DD32FC"/>
    <w:rsid w:val="00DD431F"/>
    <w:rsid w:val="00DD4A5A"/>
    <w:rsid w:val="00DD4B95"/>
    <w:rsid w:val="00DD59A8"/>
    <w:rsid w:val="00DD5D9D"/>
    <w:rsid w:val="00DD6617"/>
    <w:rsid w:val="00DD666D"/>
    <w:rsid w:val="00DD757C"/>
    <w:rsid w:val="00DD7A02"/>
    <w:rsid w:val="00DE1D04"/>
    <w:rsid w:val="00DE2209"/>
    <w:rsid w:val="00DE2BFC"/>
    <w:rsid w:val="00DE333F"/>
    <w:rsid w:val="00DE3CAB"/>
    <w:rsid w:val="00DE4138"/>
    <w:rsid w:val="00DE46F5"/>
    <w:rsid w:val="00DE4BA4"/>
    <w:rsid w:val="00DE7B01"/>
    <w:rsid w:val="00DF0775"/>
    <w:rsid w:val="00DF129E"/>
    <w:rsid w:val="00DF1519"/>
    <w:rsid w:val="00DF1946"/>
    <w:rsid w:val="00DF2231"/>
    <w:rsid w:val="00DF2E1C"/>
    <w:rsid w:val="00DF3934"/>
    <w:rsid w:val="00DF3A04"/>
    <w:rsid w:val="00DF4070"/>
    <w:rsid w:val="00DF6479"/>
    <w:rsid w:val="00DF760D"/>
    <w:rsid w:val="00DF7F9D"/>
    <w:rsid w:val="00E002EB"/>
    <w:rsid w:val="00E01EEC"/>
    <w:rsid w:val="00E021D7"/>
    <w:rsid w:val="00E038BB"/>
    <w:rsid w:val="00E0467A"/>
    <w:rsid w:val="00E0496D"/>
    <w:rsid w:val="00E04EC2"/>
    <w:rsid w:val="00E05827"/>
    <w:rsid w:val="00E05ECD"/>
    <w:rsid w:val="00E112DD"/>
    <w:rsid w:val="00E12B17"/>
    <w:rsid w:val="00E13547"/>
    <w:rsid w:val="00E143A2"/>
    <w:rsid w:val="00E14D32"/>
    <w:rsid w:val="00E16584"/>
    <w:rsid w:val="00E168DC"/>
    <w:rsid w:val="00E16B97"/>
    <w:rsid w:val="00E17068"/>
    <w:rsid w:val="00E21681"/>
    <w:rsid w:val="00E2190A"/>
    <w:rsid w:val="00E21D7A"/>
    <w:rsid w:val="00E229EE"/>
    <w:rsid w:val="00E22EC5"/>
    <w:rsid w:val="00E237BA"/>
    <w:rsid w:val="00E23976"/>
    <w:rsid w:val="00E23A57"/>
    <w:rsid w:val="00E2422A"/>
    <w:rsid w:val="00E24579"/>
    <w:rsid w:val="00E25256"/>
    <w:rsid w:val="00E25752"/>
    <w:rsid w:val="00E25A39"/>
    <w:rsid w:val="00E25C5A"/>
    <w:rsid w:val="00E31D93"/>
    <w:rsid w:val="00E34D00"/>
    <w:rsid w:val="00E35152"/>
    <w:rsid w:val="00E36FCC"/>
    <w:rsid w:val="00E37658"/>
    <w:rsid w:val="00E40553"/>
    <w:rsid w:val="00E4223A"/>
    <w:rsid w:val="00E4308F"/>
    <w:rsid w:val="00E44822"/>
    <w:rsid w:val="00E44AC5"/>
    <w:rsid w:val="00E45169"/>
    <w:rsid w:val="00E45222"/>
    <w:rsid w:val="00E5072B"/>
    <w:rsid w:val="00E50886"/>
    <w:rsid w:val="00E51718"/>
    <w:rsid w:val="00E5273B"/>
    <w:rsid w:val="00E538D1"/>
    <w:rsid w:val="00E547F3"/>
    <w:rsid w:val="00E54F73"/>
    <w:rsid w:val="00E56335"/>
    <w:rsid w:val="00E56D8A"/>
    <w:rsid w:val="00E5777D"/>
    <w:rsid w:val="00E60465"/>
    <w:rsid w:val="00E60ADC"/>
    <w:rsid w:val="00E612C3"/>
    <w:rsid w:val="00E6206E"/>
    <w:rsid w:val="00E62781"/>
    <w:rsid w:val="00E63336"/>
    <w:rsid w:val="00E64255"/>
    <w:rsid w:val="00E64399"/>
    <w:rsid w:val="00E64449"/>
    <w:rsid w:val="00E64453"/>
    <w:rsid w:val="00E64ABB"/>
    <w:rsid w:val="00E651E1"/>
    <w:rsid w:val="00E6555D"/>
    <w:rsid w:val="00E657BF"/>
    <w:rsid w:val="00E65D8F"/>
    <w:rsid w:val="00E66C34"/>
    <w:rsid w:val="00E70A53"/>
    <w:rsid w:val="00E7162B"/>
    <w:rsid w:val="00E71F00"/>
    <w:rsid w:val="00E71F30"/>
    <w:rsid w:val="00E7278E"/>
    <w:rsid w:val="00E73E4F"/>
    <w:rsid w:val="00E73ED0"/>
    <w:rsid w:val="00E7637B"/>
    <w:rsid w:val="00E76497"/>
    <w:rsid w:val="00E80927"/>
    <w:rsid w:val="00E80D44"/>
    <w:rsid w:val="00E811F2"/>
    <w:rsid w:val="00E815AA"/>
    <w:rsid w:val="00E81731"/>
    <w:rsid w:val="00E81C4A"/>
    <w:rsid w:val="00E84198"/>
    <w:rsid w:val="00E8647C"/>
    <w:rsid w:val="00E86DE9"/>
    <w:rsid w:val="00E903D5"/>
    <w:rsid w:val="00E90C75"/>
    <w:rsid w:val="00E92043"/>
    <w:rsid w:val="00E933EF"/>
    <w:rsid w:val="00E9448F"/>
    <w:rsid w:val="00E97CE5"/>
    <w:rsid w:val="00EA0678"/>
    <w:rsid w:val="00EA4BBA"/>
    <w:rsid w:val="00EB0224"/>
    <w:rsid w:val="00EB1128"/>
    <w:rsid w:val="00EB2A95"/>
    <w:rsid w:val="00EB479A"/>
    <w:rsid w:val="00EB4DE5"/>
    <w:rsid w:val="00EB65EF"/>
    <w:rsid w:val="00EB7686"/>
    <w:rsid w:val="00EC0756"/>
    <w:rsid w:val="00EC2194"/>
    <w:rsid w:val="00EC23B4"/>
    <w:rsid w:val="00EC31C6"/>
    <w:rsid w:val="00EC328F"/>
    <w:rsid w:val="00EC36B8"/>
    <w:rsid w:val="00EC5605"/>
    <w:rsid w:val="00EC6D63"/>
    <w:rsid w:val="00EC74C4"/>
    <w:rsid w:val="00EC7CE9"/>
    <w:rsid w:val="00ED1A0A"/>
    <w:rsid w:val="00ED2B55"/>
    <w:rsid w:val="00ED3D03"/>
    <w:rsid w:val="00ED489E"/>
    <w:rsid w:val="00ED50FE"/>
    <w:rsid w:val="00ED5495"/>
    <w:rsid w:val="00ED72F4"/>
    <w:rsid w:val="00EE0CA9"/>
    <w:rsid w:val="00EE0D20"/>
    <w:rsid w:val="00EE1711"/>
    <w:rsid w:val="00EE1FB0"/>
    <w:rsid w:val="00EE597A"/>
    <w:rsid w:val="00EE654C"/>
    <w:rsid w:val="00EE7A27"/>
    <w:rsid w:val="00EE7AD9"/>
    <w:rsid w:val="00EF2F5D"/>
    <w:rsid w:val="00EF3B7E"/>
    <w:rsid w:val="00EF5BDA"/>
    <w:rsid w:val="00EF6122"/>
    <w:rsid w:val="00EF6ACD"/>
    <w:rsid w:val="00F01230"/>
    <w:rsid w:val="00F03486"/>
    <w:rsid w:val="00F03FD1"/>
    <w:rsid w:val="00F04438"/>
    <w:rsid w:val="00F1035B"/>
    <w:rsid w:val="00F11D10"/>
    <w:rsid w:val="00F120CC"/>
    <w:rsid w:val="00F13DD3"/>
    <w:rsid w:val="00F13F55"/>
    <w:rsid w:val="00F15080"/>
    <w:rsid w:val="00F15336"/>
    <w:rsid w:val="00F15AF8"/>
    <w:rsid w:val="00F15BAD"/>
    <w:rsid w:val="00F1604C"/>
    <w:rsid w:val="00F16A49"/>
    <w:rsid w:val="00F170E8"/>
    <w:rsid w:val="00F175BE"/>
    <w:rsid w:val="00F21715"/>
    <w:rsid w:val="00F21773"/>
    <w:rsid w:val="00F22217"/>
    <w:rsid w:val="00F223D1"/>
    <w:rsid w:val="00F2246C"/>
    <w:rsid w:val="00F23188"/>
    <w:rsid w:val="00F2359D"/>
    <w:rsid w:val="00F23888"/>
    <w:rsid w:val="00F24B22"/>
    <w:rsid w:val="00F255E9"/>
    <w:rsid w:val="00F27402"/>
    <w:rsid w:val="00F31FF1"/>
    <w:rsid w:val="00F32251"/>
    <w:rsid w:val="00F32CEB"/>
    <w:rsid w:val="00F32F5B"/>
    <w:rsid w:val="00F3310F"/>
    <w:rsid w:val="00F336D0"/>
    <w:rsid w:val="00F338D6"/>
    <w:rsid w:val="00F34268"/>
    <w:rsid w:val="00F3503E"/>
    <w:rsid w:val="00F36885"/>
    <w:rsid w:val="00F36B66"/>
    <w:rsid w:val="00F40639"/>
    <w:rsid w:val="00F414E1"/>
    <w:rsid w:val="00F41F86"/>
    <w:rsid w:val="00F42141"/>
    <w:rsid w:val="00F42AD4"/>
    <w:rsid w:val="00F43383"/>
    <w:rsid w:val="00F43D81"/>
    <w:rsid w:val="00F44180"/>
    <w:rsid w:val="00F44B33"/>
    <w:rsid w:val="00F453BC"/>
    <w:rsid w:val="00F46164"/>
    <w:rsid w:val="00F46C87"/>
    <w:rsid w:val="00F46CCD"/>
    <w:rsid w:val="00F500BE"/>
    <w:rsid w:val="00F50155"/>
    <w:rsid w:val="00F52395"/>
    <w:rsid w:val="00F52C8E"/>
    <w:rsid w:val="00F55AC8"/>
    <w:rsid w:val="00F55BCF"/>
    <w:rsid w:val="00F56FA1"/>
    <w:rsid w:val="00F57629"/>
    <w:rsid w:val="00F57CCF"/>
    <w:rsid w:val="00F61314"/>
    <w:rsid w:val="00F61EF6"/>
    <w:rsid w:val="00F61F85"/>
    <w:rsid w:val="00F627DD"/>
    <w:rsid w:val="00F63BDB"/>
    <w:rsid w:val="00F64005"/>
    <w:rsid w:val="00F656D4"/>
    <w:rsid w:val="00F65DEA"/>
    <w:rsid w:val="00F663CC"/>
    <w:rsid w:val="00F66A58"/>
    <w:rsid w:val="00F70A3E"/>
    <w:rsid w:val="00F71B47"/>
    <w:rsid w:val="00F72996"/>
    <w:rsid w:val="00F72E59"/>
    <w:rsid w:val="00F74679"/>
    <w:rsid w:val="00F76FEC"/>
    <w:rsid w:val="00F80049"/>
    <w:rsid w:val="00F81292"/>
    <w:rsid w:val="00F82246"/>
    <w:rsid w:val="00F826E0"/>
    <w:rsid w:val="00F835F6"/>
    <w:rsid w:val="00F85401"/>
    <w:rsid w:val="00F86BFE"/>
    <w:rsid w:val="00F86C0E"/>
    <w:rsid w:val="00F86DFD"/>
    <w:rsid w:val="00F876CE"/>
    <w:rsid w:val="00F87AB7"/>
    <w:rsid w:val="00F90DA9"/>
    <w:rsid w:val="00F93887"/>
    <w:rsid w:val="00F9598F"/>
    <w:rsid w:val="00F95D7D"/>
    <w:rsid w:val="00F968A7"/>
    <w:rsid w:val="00FA044E"/>
    <w:rsid w:val="00FA0C52"/>
    <w:rsid w:val="00FA1FF9"/>
    <w:rsid w:val="00FA3746"/>
    <w:rsid w:val="00FA4FD9"/>
    <w:rsid w:val="00FA5E70"/>
    <w:rsid w:val="00FA69EE"/>
    <w:rsid w:val="00FA6D0B"/>
    <w:rsid w:val="00FA7D1D"/>
    <w:rsid w:val="00FB0275"/>
    <w:rsid w:val="00FB2758"/>
    <w:rsid w:val="00FB3084"/>
    <w:rsid w:val="00FB3477"/>
    <w:rsid w:val="00FB6155"/>
    <w:rsid w:val="00FB6FB2"/>
    <w:rsid w:val="00FB7546"/>
    <w:rsid w:val="00FB79EF"/>
    <w:rsid w:val="00FC06CA"/>
    <w:rsid w:val="00FC1850"/>
    <w:rsid w:val="00FC2B4A"/>
    <w:rsid w:val="00FC3729"/>
    <w:rsid w:val="00FC37A6"/>
    <w:rsid w:val="00FC3AA4"/>
    <w:rsid w:val="00FC3C93"/>
    <w:rsid w:val="00FC40DB"/>
    <w:rsid w:val="00FC43F2"/>
    <w:rsid w:val="00FC4741"/>
    <w:rsid w:val="00FC4B99"/>
    <w:rsid w:val="00FC6B26"/>
    <w:rsid w:val="00FC718D"/>
    <w:rsid w:val="00FD03FF"/>
    <w:rsid w:val="00FD0913"/>
    <w:rsid w:val="00FD0C8A"/>
    <w:rsid w:val="00FD2746"/>
    <w:rsid w:val="00FD2AF1"/>
    <w:rsid w:val="00FD3111"/>
    <w:rsid w:val="00FD436E"/>
    <w:rsid w:val="00FD58A3"/>
    <w:rsid w:val="00FD62CB"/>
    <w:rsid w:val="00FD6B33"/>
    <w:rsid w:val="00FD70C6"/>
    <w:rsid w:val="00FD7DAC"/>
    <w:rsid w:val="00FE21EB"/>
    <w:rsid w:val="00FE335A"/>
    <w:rsid w:val="00FE4088"/>
    <w:rsid w:val="00FE4609"/>
    <w:rsid w:val="00FE47DD"/>
    <w:rsid w:val="00FE5539"/>
    <w:rsid w:val="00FE579E"/>
    <w:rsid w:val="00FE66F5"/>
    <w:rsid w:val="00FE6900"/>
    <w:rsid w:val="00FE6FF7"/>
    <w:rsid w:val="00FF0B8B"/>
    <w:rsid w:val="00FF0F92"/>
    <w:rsid w:val="00FF139A"/>
    <w:rsid w:val="00FF13F4"/>
    <w:rsid w:val="00FF3BBA"/>
    <w:rsid w:val="00FF4B4C"/>
    <w:rsid w:val="00FF6CA2"/>
    <w:rsid w:val="00FF7D23"/>
    <w:rsid w:val="00FF7E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country-region"/>
  <w:smartTagType w:namespaceuri="urn:schemas-microsoft-com:office:smarttags" w:name="PersonName"/>
  <w:smartTagType w:namespaceuri="urn:schemas-microsoft-com:office:smarttags" w:name="PlaceName"/>
  <w:smartTagType w:namespaceuri="urn:schemas-microsoft-com:office:smarttags" w:name="PlaceType"/>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rsid w:val="006E239B"/>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B951C9"/>
    <w:pPr>
      <w:tabs>
        <w:tab w:val="center" w:pos="4320"/>
        <w:tab w:val="right" w:pos="8640"/>
      </w:tabs>
    </w:pPr>
  </w:style>
  <w:style w:type="paragraph" w:styleId="Footer">
    <w:name w:val="footer"/>
    <w:basedOn w:val="Normal"/>
    <w:rsid w:val="00B951C9"/>
    <w:pPr>
      <w:tabs>
        <w:tab w:val="center" w:pos="4320"/>
        <w:tab w:val="right" w:pos="8640"/>
      </w:tabs>
    </w:pPr>
  </w:style>
  <w:style w:type="character" w:styleId="PageNumber">
    <w:name w:val="page number"/>
    <w:basedOn w:val="DefaultParagraphFont"/>
    <w:rsid w:val="00B951C9"/>
  </w:style>
  <w:style w:type="paragraph" w:customStyle="1" w:styleId="loose">
    <w:name w:val="loose"/>
    <w:basedOn w:val="Normal"/>
    <w:rsid w:val="00F32251"/>
    <w:pPr>
      <w:spacing w:before="210"/>
    </w:pPr>
  </w:style>
  <w:style w:type="character" w:customStyle="1" w:styleId="bold1">
    <w:name w:val="bold1"/>
    <w:basedOn w:val="DefaultParagraphFont"/>
    <w:rsid w:val="00D54402"/>
    <w:rPr>
      <w:b/>
      <w:bCs/>
    </w:rPr>
  </w:style>
  <w:style w:type="character" w:customStyle="1" w:styleId="italic1">
    <w:name w:val="italic1"/>
    <w:basedOn w:val="DefaultParagraphFont"/>
    <w:rsid w:val="00404A06"/>
    <w:rPr>
      <w:i/>
      <w:iCs/>
    </w:rPr>
  </w:style>
  <w:style w:type="character" w:styleId="Hyperlink">
    <w:name w:val="Hyperlink"/>
    <w:basedOn w:val="DefaultParagraphFont"/>
    <w:rsid w:val="00F55AC8"/>
    <w:rPr>
      <w:rFonts w:ascii="Verdana" w:hAnsi="Verdana" w:hint="default"/>
      <w:strike w:val="0"/>
      <w:dstrike w:val="0"/>
      <w:color w:val="3300CC"/>
      <w:u w:val="none"/>
      <w:effect w:val="none"/>
    </w:rPr>
  </w:style>
  <w:style w:type="paragraph" w:styleId="FootnoteText">
    <w:name w:val="footnote text"/>
    <w:basedOn w:val="Normal"/>
    <w:semiHidden/>
    <w:rsid w:val="00FA69EE"/>
    <w:rPr>
      <w:sz w:val="20"/>
      <w:szCs w:val="20"/>
    </w:rPr>
  </w:style>
  <w:style w:type="character" w:styleId="FootnoteReference">
    <w:name w:val="footnote reference"/>
    <w:basedOn w:val="DefaultParagraphFont"/>
    <w:semiHidden/>
    <w:rsid w:val="00FA69EE"/>
    <w:rPr>
      <w:vertAlign w:val="superscript"/>
    </w:rPr>
  </w:style>
  <w:style w:type="paragraph" w:customStyle="1" w:styleId="style11">
    <w:name w:val="style11"/>
    <w:basedOn w:val="Normal"/>
    <w:rsid w:val="000B5537"/>
    <w:pPr>
      <w:spacing w:before="160" w:after="120"/>
      <w:ind w:hanging="720"/>
      <w:jc w:val="both"/>
    </w:pPr>
    <w:rPr>
      <w:rFonts w:ascii="CG Times (W1)" w:hAnsi="CG Times (W1)"/>
      <w:sz w:val="28"/>
      <w:szCs w:val="28"/>
    </w:rPr>
  </w:style>
  <w:style w:type="paragraph" w:customStyle="1" w:styleId="Default">
    <w:name w:val="Default"/>
    <w:rsid w:val="005466ED"/>
    <w:pPr>
      <w:autoSpaceDE w:val="0"/>
      <w:autoSpaceDN w:val="0"/>
      <w:adjustRightInd w:val="0"/>
    </w:pPr>
    <w:rPr>
      <w:color w:val="000000"/>
      <w:sz w:val="24"/>
      <w:szCs w:val="24"/>
    </w:rPr>
  </w:style>
  <w:style w:type="paragraph" w:customStyle="1" w:styleId="SCJNumber">
    <w:name w:val="SCJ Number"/>
    <w:basedOn w:val="Normal"/>
    <w:rsid w:val="0065480D"/>
    <w:pPr>
      <w:spacing w:after="240" w:line="360" w:lineRule="auto"/>
    </w:pPr>
    <w:rPr>
      <w:rFonts w:ascii="Arial (W1)" w:hAnsi="Arial (W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3665156">
      <w:bodyDiv w:val="1"/>
      <w:marLeft w:val="0"/>
      <w:marRight w:val="0"/>
      <w:marTop w:val="0"/>
      <w:marBottom w:val="0"/>
      <w:divBdr>
        <w:top w:val="none" w:sz="0" w:space="0" w:color="auto"/>
        <w:left w:val="none" w:sz="0" w:space="0" w:color="auto"/>
        <w:bottom w:val="none" w:sz="0" w:space="0" w:color="auto"/>
        <w:right w:val="none" w:sz="0" w:space="0" w:color="auto"/>
      </w:divBdr>
      <w:divsChild>
        <w:div w:id="457993751">
          <w:marLeft w:val="0"/>
          <w:marRight w:val="0"/>
          <w:marTop w:val="0"/>
          <w:marBottom w:val="0"/>
          <w:divBdr>
            <w:top w:val="none" w:sz="0" w:space="0" w:color="auto"/>
            <w:left w:val="none" w:sz="0" w:space="0" w:color="auto"/>
            <w:bottom w:val="none" w:sz="0" w:space="0" w:color="auto"/>
            <w:right w:val="none" w:sz="0" w:space="0" w:color="auto"/>
          </w:divBdr>
          <w:divsChild>
            <w:div w:id="840588976">
              <w:marLeft w:val="0"/>
              <w:marRight w:val="0"/>
              <w:marTop w:val="0"/>
              <w:marBottom w:val="0"/>
              <w:divBdr>
                <w:top w:val="single" w:sz="12" w:space="0" w:color="000000"/>
                <w:left w:val="none" w:sz="0" w:space="0" w:color="auto"/>
                <w:bottom w:val="none" w:sz="0" w:space="0" w:color="auto"/>
                <w:right w:val="none" w:sz="0" w:space="0" w:color="auto"/>
              </w:divBdr>
              <w:divsChild>
                <w:div w:id="1743680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608878">
      <w:bodyDiv w:val="1"/>
      <w:marLeft w:val="0"/>
      <w:marRight w:val="0"/>
      <w:marTop w:val="0"/>
      <w:marBottom w:val="0"/>
      <w:divBdr>
        <w:top w:val="none" w:sz="0" w:space="0" w:color="auto"/>
        <w:left w:val="none" w:sz="0" w:space="0" w:color="auto"/>
        <w:bottom w:val="none" w:sz="0" w:space="0" w:color="auto"/>
        <w:right w:val="none" w:sz="0" w:space="0" w:color="auto"/>
      </w:divBdr>
      <w:divsChild>
        <w:div w:id="1596551420">
          <w:marLeft w:val="0"/>
          <w:marRight w:val="0"/>
          <w:marTop w:val="0"/>
          <w:marBottom w:val="0"/>
          <w:divBdr>
            <w:top w:val="none" w:sz="0" w:space="0" w:color="auto"/>
            <w:left w:val="none" w:sz="0" w:space="0" w:color="auto"/>
            <w:bottom w:val="none" w:sz="0" w:space="0" w:color="auto"/>
            <w:right w:val="none" w:sz="0" w:space="0" w:color="auto"/>
          </w:divBdr>
          <w:divsChild>
            <w:div w:id="165631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431044">
      <w:bodyDiv w:val="1"/>
      <w:marLeft w:val="0"/>
      <w:marRight w:val="0"/>
      <w:marTop w:val="0"/>
      <w:marBottom w:val="0"/>
      <w:divBdr>
        <w:top w:val="none" w:sz="0" w:space="0" w:color="auto"/>
        <w:left w:val="none" w:sz="0" w:space="0" w:color="auto"/>
        <w:bottom w:val="none" w:sz="0" w:space="0" w:color="auto"/>
        <w:right w:val="none" w:sz="0" w:space="0" w:color="auto"/>
      </w:divBdr>
      <w:divsChild>
        <w:div w:id="651103364">
          <w:marLeft w:val="0"/>
          <w:marRight w:val="0"/>
          <w:marTop w:val="0"/>
          <w:marBottom w:val="0"/>
          <w:divBdr>
            <w:top w:val="none" w:sz="0" w:space="0" w:color="auto"/>
            <w:left w:val="none" w:sz="0" w:space="0" w:color="auto"/>
            <w:bottom w:val="none" w:sz="0" w:space="0" w:color="auto"/>
            <w:right w:val="none" w:sz="0" w:space="0" w:color="auto"/>
          </w:divBdr>
          <w:divsChild>
            <w:div w:id="12532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667200">
      <w:bodyDiv w:val="1"/>
      <w:marLeft w:val="0"/>
      <w:marRight w:val="0"/>
      <w:marTop w:val="0"/>
      <w:marBottom w:val="0"/>
      <w:divBdr>
        <w:top w:val="none" w:sz="0" w:space="0" w:color="auto"/>
        <w:left w:val="none" w:sz="0" w:space="0" w:color="auto"/>
        <w:bottom w:val="none" w:sz="0" w:space="0" w:color="auto"/>
        <w:right w:val="none" w:sz="0" w:space="0" w:color="auto"/>
      </w:divBdr>
      <w:divsChild>
        <w:div w:id="844397414">
          <w:marLeft w:val="0"/>
          <w:marRight w:val="0"/>
          <w:marTop w:val="0"/>
          <w:marBottom w:val="0"/>
          <w:divBdr>
            <w:top w:val="none" w:sz="0" w:space="0" w:color="auto"/>
            <w:left w:val="none" w:sz="0" w:space="0" w:color="auto"/>
            <w:bottom w:val="none" w:sz="0" w:space="0" w:color="auto"/>
            <w:right w:val="none" w:sz="0" w:space="0" w:color="auto"/>
          </w:divBdr>
          <w:divsChild>
            <w:div w:id="1229418682">
              <w:marLeft w:val="0"/>
              <w:marRight w:val="0"/>
              <w:marTop w:val="0"/>
              <w:marBottom w:val="0"/>
              <w:divBdr>
                <w:top w:val="single" w:sz="12" w:space="0" w:color="000000"/>
                <w:left w:val="none" w:sz="0" w:space="0" w:color="auto"/>
                <w:bottom w:val="none" w:sz="0" w:space="0" w:color="auto"/>
                <w:right w:val="none" w:sz="0" w:space="0" w:color="auto"/>
              </w:divBdr>
              <w:divsChild>
                <w:div w:id="261839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637485">
      <w:bodyDiv w:val="1"/>
      <w:marLeft w:val="0"/>
      <w:marRight w:val="0"/>
      <w:marTop w:val="0"/>
      <w:marBottom w:val="0"/>
      <w:divBdr>
        <w:top w:val="none" w:sz="0" w:space="0" w:color="auto"/>
        <w:left w:val="none" w:sz="0" w:space="0" w:color="auto"/>
        <w:bottom w:val="none" w:sz="0" w:space="0" w:color="auto"/>
        <w:right w:val="none" w:sz="0" w:space="0" w:color="auto"/>
      </w:divBdr>
      <w:divsChild>
        <w:div w:id="441611667">
          <w:marLeft w:val="0"/>
          <w:marRight w:val="0"/>
          <w:marTop w:val="0"/>
          <w:marBottom w:val="0"/>
          <w:divBdr>
            <w:top w:val="none" w:sz="0" w:space="0" w:color="auto"/>
            <w:left w:val="none" w:sz="0" w:space="0" w:color="auto"/>
            <w:bottom w:val="none" w:sz="0" w:space="0" w:color="auto"/>
            <w:right w:val="none" w:sz="0" w:space="0" w:color="auto"/>
          </w:divBdr>
          <w:divsChild>
            <w:div w:id="206726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514589">
      <w:bodyDiv w:val="1"/>
      <w:marLeft w:val="0"/>
      <w:marRight w:val="0"/>
      <w:marTop w:val="0"/>
      <w:marBottom w:val="0"/>
      <w:divBdr>
        <w:top w:val="none" w:sz="0" w:space="0" w:color="auto"/>
        <w:left w:val="none" w:sz="0" w:space="0" w:color="auto"/>
        <w:bottom w:val="none" w:sz="0" w:space="0" w:color="auto"/>
        <w:right w:val="none" w:sz="0" w:space="0" w:color="auto"/>
      </w:divBdr>
    </w:div>
    <w:div w:id="1132791142">
      <w:bodyDiv w:val="1"/>
      <w:marLeft w:val="0"/>
      <w:marRight w:val="0"/>
      <w:marTop w:val="0"/>
      <w:marBottom w:val="0"/>
      <w:divBdr>
        <w:top w:val="none" w:sz="0" w:space="0" w:color="auto"/>
        <w:left w:val="none" w:sz="0" w:space="0" w:color="auto"/>
        <w:bottom w:val="none" w:sz="0" w:space="0" w:color="auto"/>
        <w:right w:val="none" w:sz="0" w:space="0" w:color="auto"/>
      </w:divBdr>
      <w:divsChild>
        <w:div w:id="1624461109">
          <w:marLeft w:val="0"/>
          <w:marRight w:val="0"/>
          <w:marTop w:val="0"/>
          <w:marBottom w:val="0"/>
          <w:divBdr>
            <w:top w:val="none" w:sz="0" w:space="0" w:color="auto"/>
            <w:left w:val="none" w:sz="0" w:space="0" w:color="auto"/>
            <w:bottom w:val="none" w:sz="0" w:space="0" w:color="auto"/>
            <w:right w:val="none" w:sz="0" w:space="0" w:color="auto"/>
          </w:divBdr>
          <w:divsChild>
            <w:div w:id="175350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631085">
      <w:bodyDiv w:val="1"/>
      <w:marLeft w:val="0"/>
      <w:marRight w:val="0"/>
      <w:marTop w:val="0"/>
      <w:marBottom w:val="0"/>
      <w:divBdr>
        <w:top w:val="none" w:sz="0" w:space="0" w:color="auto"/>
        <w:left w:val="none" w:sz="0" w:space="0" w:color="auto"/>
        <w:bottom w:val="none" w:sz="0" w:space="0" w:color="auto"/>
        <w:right w:val="none" w:sz="0" w:space="0" w:color="auto"/>
      </w:divBdr>
      <w:divsChild>
        <w:div w:id="1273702979">
          <w:marLeft w:val="0"/>
          <w:marRight w:val="0"/>
          <w:marTop w:val="0"/>
          <w:marBottom w:val="0"/>
          <w:divBdr>
            <w:top w:val="none" w:sz="0" w:space="0" w:color="auto"/>
            <w:left w:val="none" w:sz="0" w:space="0" w:color="auto"/>
            <w:bottom w:val="none" w:sz="0" w:space="0" w:color="auto"/>
            <w:right w:val="none" w:sz="0" w:space="0" w:color="auto"/>
          </w:divBdr>
          <w:divsChild>
            <w:div w:id="460268014">
              <w:marLeft w:val="0"/>
              <w:marRight w:val="0"/>
              <w:marTop w:val="0"/>
              <w:marBottom w:val="0"/>
              <w:divBdr>
                <w:top w:val="single" w:sz="12" w:space="0" w:color="000000"/>
                <w:left w:val="none" w:sz="0" w:space="0" w:color="auto"/>
                <w:bottom w:val="none" w:sz="0" w:space="0" w:color="auto"/>
                <w:right w:val="none" w:sz="0" w:space="0" w:color="auto"/>
              </w:divBdr>
              <w:divsChild>
                <w:div w:id="1395616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848622">
      <w:bodyDiv w:val="1"/>
      <w:marLeft w:val="0"/>
      <w:marRight w:val="0"/>
      <w:marTop w:val="0"/>
      <w:marBottom w:val="0"/>
      <w:divBdr>
        <w:top w:val="none" w:sz="0" w:space="0" w:color="auto"/>
        <w:left w:val="none" w:sz="0" w:space="0" w:color="auto"/>
        <w:bottom w:val="none" w:sz="0" w:space="0" w:color="auto"/>
        <w:right w:val="none" w:sz="0" w:space="0" w:color="auto"/>
      </w:divBdr>
      <w:divsChild>
        <w:div w:id="1739862625">
          <w:marLeft w:val="0"/>
          <w:marRight w:val="0"/>
          <w:marTop w:val="0"/>
          <w:marBottom w:val="0"/>
          <w:divBdr>
            <w:top w:val="none" w:sz="0" w:space="0" w:color="auto"/>
            <w:left w:val="none" w:sz="0" w:space="0" w:color="auto"/>
            <w:bottom w:val="none" w:sz="0" w:space="0" w:color="auto"/>
            <w:right w:val="none" w:sz="0" w:space="0" w:color="auto"/>
          </w:divBdr>
          <w:divsChild>
            <w:div w:id="1376856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144701">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0"/>
          <w:marRight w:val="0"/>
          <w:marTop w:val="0"/>
          <w:marBottom w:val="0"/>
          <w:divBdr>
            <w:top w:val="none" w:sz="0" w:space="0" w:color="auto"/>
            <w:left w:val="none" w:sz="0" w:space="0" w:color="auto"/>
            <w:bottom w:val="none" w:sz="0" w:space="0" w:color="auto"/>
            <w:right w:val="none" w:sz="0" w:space="0" w:color="auto"/>
          </w:divBdr>
          <w:divsChild>
            <w:div w:id="13938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528098">
      <w:bodyDiv w:val="1"/>
      <w:marLeft w:val="0"/>
      <w:marRight w:val="0"/>
      <w:marTop w:val="0"/>
      <w:marBottom w:val="0"/>
      <w:divBdr>
        <w:top w:val="none" w:sz="0" w:space="0" w:color="auto"/>
        <w:left w:val="none" w:sz="0" w:space="0" w:color="auto"/>
        <w:bottom w:val="none" w:sz="0" w:space="0" w:color="auto"/>
        <w:right w:val="none" w:sz="0" w:space="0" w:color="auto"/>
      </w:divBdr>
      <w:divsChild>
        <w:div w:id="84786">
          <w:marLeft w:val="0"/>
          <w:marRight w:val="0"/>
          <w:marTop w:val="0"/>
          <w:marBottom w:val="0"/>
          <w:divBdr>
            <w:top w:val="none" w:sz="0" w:space="0" w:color="auto"/>
            <w:left w:val="none" w:sz="0" w:space="0" w:color="auto"/>
            <w:bottom w:val="none" w:sz="0" w:space="0" w:color="auto"/>
            <w:right w:val="none" w:sz="0" w:space="0" w:color="auto"/>
          </w:divBdr>
          <w:divsChild>
            <w:div w:id="1129518842">
              <w:marLeft w:val="0"/>
              <w:marRight w:val="0"/>
              <w:marTop w:val="0"/>
              <w:marBottom w:val="0"/>
              <w:divBdr>
                <w:top w:val="single" w:sz="12" w:space="0" w:color="000000"/>
                <w:left w:val="none" w:sz="0" w:space="0" w:color="auto"/>
                <w:bottom w:val="none" w:sz="0" w:space="0" w:color="auto"/>
                <w:right w:val="none" w:sz="0" w:space="0" w:color="auto"/>
              </w:divBdr>
              <w:divsChild>
                <w:div w:id="1074744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578096">
      <w:bodyDiv w:val="1"/>
      <w:marLeft w:val="0"/>
      <w:marRight w:val="0"/>
      <w:marTop w:val="0"/>
      <w:marBottom w:val="0"/>
      <w:divBdr>
        <w:top w:val="none" w:sz="0" w:space="0" w:color="auto"/>
        <w:left w:val="none" w:sz="0" w:space="0" w:color="auto"/>
        <w:bottom w:val="none" w:sz="0" w:space="0" w:color="auto"/>
        <w:right w:val="none" w:sz="0" w:space="0" w:color="auto"/>
      </w:divBdr>
      <w:divsChild>
        <w:div w:id="1908833368">
          <w:marLeft w:val="0"/>
          <w:marRight w:val="0"/>
          <w:marTop w:val="0"/>
          <w:marBottom w:val="0"/>
          <w:divBdr>
            <w:top w:val="none" w:sz="0" w:space="0" w:color="auto"/>
            <w:left w:val="none" w:sz="0" w:space="0" w:color="auto"/>
            <w:bottom w:val="none" w:sz="0" w:space="0" w:color="auto"/>
            <w:right w:val="none" w:sz="0" w:space="0" w:color="auto"/>
          </w:divBdr>
          <w:divsChild>
            <w:div w:id="1686713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820603">
      <w:bodyDiv w:val="1"/>
      <w:marLeft w:val="0"/>
      <w:marRight w:val="0"/>
      <w:marTop w:val="0"/>
      <w:marBottom w:val="0"/>
      <w:divBdr>
        <w:top w:val="none" w:sz="0" w:space="0" w:color="auto"/>
        <w:left w:val="none" w:sz="0" w:space="0" w:color="auto"/>
        <w:bottom w:val="none" w:sz="0" w:space="0" w:color="auto"/>
        <w:right w:val="none" w:sz="0" w:space="0" w:color="auto"/>
      </w:divBdr>
    </w:div>
    <w:div w:id="2091807270">
      <w:bodyDiv w:val="1"/>
      <w:marLeft w:val="0"/>
      <w:marRight w:val="0"/>
      <w:marTop w:val="0"/>
      <w:marBottom w:val="0"/>
      <w:divBdr>
        <w:top w:val="none" w:sz="0" w:space="0" w:color="auto"/>
        <w:left w:val="none" w:sz="0" w:space="0" w:color="auto"/>
        <w:bottom w:val="none" w:sz="0" w:space="0" w:color="auto"/>
        <w:right w:val="none" w:sz="0" w:space="0" w:color="auto"/>
      </w:divBdr>
      <w:divsChild>
        <w:div w:id="760950740">
          <w:marLeft w:val="0"/>
          <w:marRight w:val="0"/>
          <w:marTop w:val="0"/>
          <w:marBottom w:val="0"/>
          <w:divBdr>
            <w:top w:val="none" w:sz="0" w:space="0" w:color="auto"/>
            <w:left w:val="none" w:sz="0" w:space="0" w:color="auto"/>
            <w:bottom w:val="none" w:sz="0" w:space="0" w:color="auto"/>
            <w:right w:val="none" w:sz="0" w:space="0" w:color="auto"/>
          </w:divBdr>
          <w:divsChild>
            <w:div w:id="94623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www.lexisnexis.com:80/ca/legal/search/runRemoteLink.do?langcountry=CA&amp;linkInfo=F%23CA%23BCCA%23onum%25110%25decisiondate%252009%25year%252009%25sel1%252009%25&amp;risb=21_T7818120334&amp;bct=A&amp;service=citation&amp;A=0.9830095404833614" TargetMode="External"/><Relationship Id="rId18"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www.lexisnexis.com:80/ca/legal/search/runRemoteLink.do?langcountry=CA&amp;linkInfo=F%23CA%23OR3%23decisiondate%252005%25sel2%2577%25year%252005%25page%25371%25sel1%252005%25vol%2577%25&amp;risb=21_T7818120334&amp;bct=A&amp;service=citation&amp;A=0.27196665619459626" TargetMode="External"/><Relationship Id="rId17" Type="http://schemas.openxmlformats.org/officeDocument/2006/relationships/hyperlink" Target="http://www.lexisnexis.com:80/ca/legal/search/runRemoteLink.do?langcountry=CA&amp;linkInfo=F%23CA%23FTR%23decisiondate%251999%25sel2%25171%25year%251999%25page%2591%25sel1%251999%25vol%25171%25&amp;risb=21_T7818120334&amp;bct=A&amp;service=citation&amp;A=0.9802005636959149" TargetMode="External"/><Relationship Id="rId2" Type="http://schemas.openxmlformats.org/officeDocument/2006/relationships/styles" Target="styles.xml"/><Relationship Id="rId16" Type="http://schemas.openxmlformats.org/officeDocument/2006/relationships/hyperlink" Target="http://www.lexisnexis.com:80/ca/legal/search/runRemoteLink.do?langcountry=CA&amp;linkInfo=F%23CA%23AR%23sel2%25332%25page%251%25vol%25332%25&amp;risb=21_T7818120334&amp;bct=A&amp;service=citation&amp;A=0.6827283099747492"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lexisnexis.com:80/ca/legal/search/runRemoteLink.do?langcountry=CA&amp;linkInfo=F%23CA%23AR%23sel2%25286%25page%25120%25vol%25286%25&amp;risb=21_T7818120334&amp;bct=A&amp;service=citation&amp;A=0.5305136875775996" TargetMode="External"/><Relationship Id="rId5" Type="http://schemas.openxmlformats.org/officeDocument/2006/relationships/footnotes" Target="footnotes.xml"/><Relationship Id="rId15" Type="http://schemas.openxmlformats.org/officeDocument/2006/relationships/hyperlink" Target="http://www.lexisnexis.com:80/ca/legal/search/runRemoteLink.do?langcountry=CA&amp;linkInfo=F%23CA%23ABQB%23onum%251130%25decisiondate%252002%25year%252002%25sel1%252002%25&amp;risb=21_T7818120334&amp;bct=A&amp;service=citation&amp;A=0.08196305204977006" TargetMode="External"/><Relationship Id="rId10" Type="http://schemas.openxmlformats.org/officeDocument/2006/relationships/hyperlink" Target="http://www.lexisnexis.com:80/ca/legal/search/runRemoteLink.do?langcountry=CA&amp;linkInfo=F%23CA%23ABCA%23onum%25151%25decisiondate%252001%25year%252001%25sel1%252001%25&amp;risb=21_T7818120334&amp;bct=A&amp;service=citation&amp;A=0.702630395814199"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bailii.org/cgi-bin/redirect.cgi?path=/uk/cases/UKPC/2001/d4.html" TargetMode="External"/><Relationship Id="rId14" Type="http://schemas.openxmlformats.org/officeDocument/2006/relationships/hyperlink" Target="http://www.lexisnexis.com:80/ca/legal/search/runRemoteLink.do?langcountry=CA&amp;linkInfo=F%23CA%23WWR%23sel2%254%25year%252009%25page%25236%25sel1%252009%25vol%254%25&amp;risb=21_T7818120334&amp;bct=A&amp;service=citation&amp;A=0.380120043887459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31</Pages>
  <Words>7711</Words>
  <Characters>43955</Characters>
  <Application>Microsoft Office Word</Application>
  <DocSecurity>4</DocSecurity>
  <Lines>366</Lines>
  <Paragraphs>103</Paragraphs>
  <ScaleCrop>false</ScaleCrop>
  <HeadingPairs>
    <vt:vector size="2" baseType="variant">
      <vt:variant>
        <vt:lpstr>Title</vt:lpstr>
      </vt:variant>
      <vt:variant>
        <vt:i4>1</vt:i4>
      </vt:variant>
    </vt:vector>
  </HeadingPairs>
  <TitlesOfParts>
    <vt:vector size="1" baseType="lpstr">
      <vt:lpstr>REASONABLE APPREHENSION OF JUDICIAL BIAS IN TRIAL PROCEEDINGS (2009), C</vt:lpstr>
    </vt:vector>
  </TitlesOfParts>
  <Company>gov</Company>
  <LinksUpToDate>false</LinksUpToDate>
  <CharactersWithSpaces>51563</CharactersWithSpaces>
  <SharedDoc>false</SharedDoc>
  <HLinks>
    <vt:vector size="78" baseType="variant">
      <vt:variant>
        <vt:i4>7209035</vt:i4>
      </vt:variant>
      <vt:variant>
        <vt:i4>36</vt:i4>
      </vt:variant>
      <vt:variant>
        <vt:i4>0</vt:i4>
      </vt:variant>
      <vt:variant>
        <vt:i4>5</vt:i4>
      </vt:variant>
      <vt:variant>
        <vt:lpwstr>http://www.lexisnexis.com/ca/legal/search/runRemoteLink.do?langcountry=CA&amp;linkInfo=F%23CA%23FTR%23decisiondate%251999%25sel2%25171%25year%251999%25page%2591%25sel1%251999%25vol%25171%25&amp;risb=21_T7818120334&amp;bct=A&amp;service=citation&amp;A=0.9802005636959149</vt:lpwstr>
      </vt:variant>
      <vt:variant>
        <vt:lpwstr/>
      </vt:variant>
      <vt:variant>
        <vt:i4>2818050</vt:i4>
      </vt:variant>
      <vt:variant>
        <vt:i4>33</vt:i4>
      </vt:variant>
      <vt:variant>
        <vt:i4>0</vt:i4>
      </vt:variant>
      <vt:variant>
        <vt:i4>5</vt:i4>
      </vt:variant>
      <vt:variant>
        <vt:lpwstr>http://www.lexisnexis.com/ca/legal/search/runRemoteLink.do?langcountry=CA&amp;linkInfo=F%23CA%23AR%23sel2%25332%25page%251%25vol%25332%25&amp;risb=21_T7818120334&amp;bct=A&amp;service=citation&amp;A=0.6827283099747492</vt:lpwstr>
      </vt:variant>
      <vt:variant>
        <vt:lpwstr/>
      </vt:variant>
      <vt:variant>
        <vt:i4>8060950</vt:i4>
      </vt:variant>
      <vt:variant>
        <vt:i4>30</vt:i4>
      </vt:variant>
      <vt:variant>
        <vt:i4>0</vt:i4>
      </vt:variant>
      <vt:variant>
        <vt:i4>5</vt:i4>
      </vt:variant>
      <vt:variant>
        <vt:lpwstr>http://www.lexisnexis.com/ca/legal/search/runRemoteLink.do?langcountry=CA&amp;linkInfo=F%23CA%23ABQB%23onum%251130%25decisiondate%252002%25year%252002%25sel1%252002%25&amp;risb=21_T7818120334&amp;bct=A&amp;service=citation&amp;A=0.08196305204977006</vt:lpwstr>
      </vt:variant>
      <vt:variant>
        <vt:lpwstr/>
      </vt:variant>
      <vt:variant>
        <vt:i4>5963874</vt:i4>
      </vt:variant>
      <vt:variant>
        <vt:i4>27</vt:i4>
      </vt:variant>
      <vt:variant>
        <vt:i4>0</vt:i4>
      </vt:variant>
      <vt:variant>
        <vt:i4>5</vt:i4>
      </vt:variant>
      <vt:variant>
        <vt:lpwstr>http://www.lexisnexis.com/ca/legal/search/runRemoteLink.do?langcountry=CA&amp;linkInfo=F%23CA%23WWR%23sel2%254%25year%252009%25page%25236%25sel1%252009%25vol%254%25&amp;risb=21_T7818120334&amp;bct=A&amp;service=citation&amp;A=0.3801200438874598</vt:lpwstr>
      </vt:variant>
      <vt:variant>
        <vt:lpwstr/>
      </vt:variant>
      <vt:variant>
        <vt:i4>2949207</vt:i4>
      </vt:variant>
      <vt:variant>
        <vt:i4>24</vt:i4>
      </vt:variant>
      <vt:variant>
        <vt:i4>0</vt:i4>
      </vt:variant>
      <vt:variant>
        <vt:i4>5</vt:i4>
      </vt:variant>
      <vt:variant>
        <vt:lpwstr>http://www.lexisnexis.com/ca/legal/search/runRemoteLink.do?langcountry=CA&amp;linkInfo=F%23CA%23BCCA%23onum%25110%25decisiondate%252009%25year%252009%25sel1%252009%25&amp;risb=21_T7818120334&amp;bct=A&amp;service=citation&amp;A=0.9830095404833614</vt:lpwstr>
      </vt:variant>
      <vt:variant>
        <vt:lpwstr/>
      </vt:variant>
      <vt:variant>
        <vt:i4>5636150</vt:i4>
      </vt:variant>
      <vt:variant>
        <vt:i4>21</vt:i4>
      </vt:variant>
      <vt:variant>
        <vt:i4>0</vt:i4>
      </vt:variant>
      <vt:variant>
        <vt:i4>5</vt:i4>
      </vt:variant>
      <vt:variant>
        <vt:lpwstr>http://www.lexisnexis.com/ca/legal/search/runRemoteLink.do?langcountry=CA&amp;linkInfo=F%23CA%23OR3%23decisiondate%252005%25sel2%2577%25year%252005%25page%25371%25sel1%252005%25vol%2577%25&amp;risb=21_T7818120334&amp;bct=A&amp;service=citation&amp;A=0.27196665619459626</vt:lpwstr>
      </vt:variant>
      <vt:variant>
        <vt:lpwstr/>
      </vt:variant>
      <vt:variant>
        <vt:i4>1966134</vt:i4>
      </vt:variant>
      <vt:variant>
        <vt:i4>18</vt:i4>
      </vt:variant>
      <vt:variant>
        <vt:i4>0</vt:i4>
      </vt:variant>
      <vt:variant>
        <vt:i4>5</vt:i4>
      </vt:variant>
      <vt:variant>
        <vt:lpwstr>http://www.lexisnexis.com/ca/legal/search/runRemoteLink.do?langcountry=CA&amp;linkInfo=F%23CA%23AR%23sel2%25286%25page%25120%25vol%25286%25&amp;risb=21_T7818120334&amp;bct=A&amp;service=citation&amp;A=0.5305136875775996</vt:lpwstr>
      </vt:variant>
      <vt:variant>
        <vt:lpwstr/>
      </vt:variant>
      <vt:variant>
        <vt:i4>1179752</vt:i4>
      </vt:variant>
      <vt:variant>
        <vt:i4>15</vt:i4>
      </vt:variant>
      <vt:variant>
        <vt:i4>0</vt:i4>
      </vt:variant>
      <vt:variant>
        <vt:i4>5</vt:i4>
      </vt:variant>
      <vt:variant>
        <vt:lpwstr>http://www.lexisnexis.com/ca/legal/search/runRemoteLink.do?langcountry=CA&amp;linkInfo=F%23CA%23ABCA%23onum%25151%25decisiondate%252001%25year%252001%25sel1%252001%25&amp;risb=21_T7818120334&amp;bct=A&amp;service=citation&amp;A=0.702630395814199</vt:lpwstr>
      </vt:variant>
      <vt:variant>
        <vt:lpwstr/>
      </vt:variant>
      <vt:variant>
        <vt:i4>1638411</vt:i4>
      </vt:variant>
      <vt:variant>
        <vt:i4>12</vt:i4>
      </vt:variant>
      <vt:variant>
        <vt:i4>0</vt:i4>
      </vt:variant>
      <vt:variant>
        <vt:i4>5</vt:i4>
      </vt:variant>
      <vt:variant>
        <vt:lpwstr>http://canlii.org/en/ca/scc/doc/1997/1997canlii324/1997canlii324.html</vt:lpwstr>
      </vt:variant>
      <vt:variant>
        <vt:lpwstr/>
      </vt:variant>
      <vt:variant>
        <vt:i4>3014695</vt:i4>
      </vt:variant>
      <vt:variant>
        <vt:i4>9</vt:i4>
      </vt:variant>
      <vt:variant>
        <vt:i4>0</vt:i4>
      </vt:variant>
      <vt:variant>
        <vt:i4>5</vt:i4>
      </vt:variant>
      <vt:variant>
        <vt:lpwstr>http://canlii.org/en/bc/bcca/doc/2000/2000bcca616/2000bcca616.html</vt:lpwstr>
      </vt:variant>
      <vt:variant>
        <vt:lpwstr/>
      </vt:variant>
      <vt:variant>
        <vt:i4>3604534</vt:i4>
      </vt:variant>
      <vt:variant>
        <vt:i4>6</vt:i4>
      </vt:variant>
      <vt:variant>
        <vt:i4>0</vt:i4>
      </vt:variant>
      <vt:variant>
        <vt:i4>5</vt:i4>
      </vt:variant>
      <vt:variant>
        <vt:lpwstr>http://canlii.org/en/sk/skca/doc/2008/2008skca168/2008skca168.html</vt:lpwstr>
      </vt:variant>
      <vt:variant>
        <vt:lpwstr/>
      </vt:variant>
      <vt:variant>
        <vt:i4>8192112</vt:i4>
      </vt:variant>
      <vt:variant>
        <vt:i4>3</vt:i4>
      </vt:variant>
      <vt:variant>
        <vt:i4>0</vt:i4>
      </vt:variant>
      <vt:variant>
        <vt:i4>5</vt:i4>
      </vt:variant>
      <vt:variant>
        <vt:lpwstr>http://www.bailii.org/cgi-bin/redirect.cgi?path=/uk/cases/UKPC/2001/d4.html</vt:lpwstr>
      </vt:variant>
      <vt:variant>
        <vt:lpwstr/>
      </vt:variant>
      <vt:variant>
        <vt:i4>6291571</vt:i4>
      </vt:variant>
      <vt:variant>
        <vt:i4>0</vt:i4>
      </vt:variant>
      <vt:variant>
        <vt:i4>0</vt:i4>
      </vt:variant>
      <vt:variant>
        <vt:i4>5</vt:i4>
      </vt:variant>
      <vt:variant>
        <vt:lpwstr>http://www.bailii.org/cgi-bin/redirect.cgi?path=/scot/cases/ScotHC/1999/2000_JC_208.html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REASONABLE APPREHENSION OF JUDICIAL BIAS IN TRIAL PROCEEDINGS (2009), C</dc:title>
  <dc:subject/>
  <dc:creator>wgorman</dc:creator>
  <cp:keywords/>
  <dc:description/>
  <cp:lastModifiedBy>TakenL</cp:lastModifiedBy>
  <cp:revision>2</cp:revision>
  <cp:lastPrinted>2011-09-29T16:30:00Z</cp:lastPrinted>
  <dcterms:created xsi:type="dcterms:W3CDTF">2012-03-01T16:07:00Z</dcterms:created>
  <dcterms:modified xsi:type="dcterms:W3CDTF">2012-03-01T16:07:00Z</dcterms:modified>
</cp:coreProperties>
</file>